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2024年下半年路灯维修材料采购项目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乌兰察布市集宁区市政公用事业服务中心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内蒙古安昕立然项目管理有限公司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WSZCJNS-G-H-250004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内蒙古安昕立然项目管理有限公司</w:t>
      </w:r>
      <w:r>
        <w:rPr>
          <w:rFonts w:ascii="仿宋_GB2312" w:hAnsi="仿宋_GB2312" w:cs="仿宋_GB2312" w:eastAsia="仿宋_GB2312"/>
        </w:rPr>
        <w:t xml:space="preserve"> 受 </w:t>
      </w:r>
      <w:r>
        <w:rPr>
          <w:rFonts w:ascii="仿宋_GB2312" w:hAnsi="仿宋_GB2312" w:cs="仿宋_GB2312" w:eastAsia="仿宋_GB2312"/>
        </w:rPr>
        <w:t>乌兰察布市集宁区市政公用事业服务中心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2024年下半年路灯维修材料采购项目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2024年下半年路灯维修材料采购项目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WSZCJNS-G-H-250004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乌政采计划[2025]集宁00146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2,012,560.00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2024年下半年路灯维修材料采购项目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2,012,560.00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内蒙古安昕立然项目管理有限公司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内蒙古自治区乌兰察布市集宁区滨河西路与察哈尔东街交汇处斑马大厦B座1505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朱图娅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18447072272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乌兰察布市集宁区市政公用事业服务中心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集宁区市政公用事业服务中心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田学民</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13947451983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代理服务费收费标准：暂参考内工建协（2022）34号文件</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乌兰察布市集宁区市政公用事业服务中心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内蒙古安昕立然项目管理有限公司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审查投标人提供的具有良好的商业信誉和健全的财务会计制度的相关材料或声明函。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审查投标人提供的依法缴纳税收和社会保障资金的相关材料或声明函。</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2024年下半年路灯维修材料采购项目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乌兰察布市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1、供货完成后支付，达到付款条件起5日，支付合同总金额的50.00%</w:t>
            </w:r>
          </w:p>
          <w:p>
            <w:pPr>
              <w:pStyle w:val="null5"/>
              <w:jc w:val="left"/>
            </w:pPr>
            <w:r>
              <w:rPr>
                <w:rFonts w:ascii="仿宋_GB2312" w:hAnsi="仿宋_GB2312" w:cs="仿宋_GB2312" w:eastAsia="仿宋_GB2312"/>
              </w:rPr>
              <w:t>2、验收合格后支付，达到付款条件起5日，支付合同总金额的47.00%</w:t>
            </w:r>
          </w:p>
          <w:p>
            <w:pPr>
              <w:pStyle w:val="null5"/>
              <w:jc w:val="left"/>
            </w:pPr>
            <w:r>
              <w:rPr>
                <w:rFonts w:ascii="仿宋_GB2312" w:hAnsi="仿宋_GB2312" w:cs="仿宋_GB2312" w:eastAsia="仿宋_GB2312"/>
              </w:rPr>
              <w:t>3、预留3%质保期满后支付，达到付款条件起5日，支付合同总金额的3.00%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标的名称：2024年下半年路灯维修材料采购项目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详见附件信息</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审查投标人出具的“满足主要商务条款的承诺书”，且进行签字或盖章。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响应产品技术参数清楚、明确，技术资料齐全，全部满足或优于采购内容及要求中技术参数要求，无负偏差，满足采购文件要求得10分。技术参数每有一项负偏离或不满足，每有一项扣0.5分，本项扣完为止。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供应商制定的供货方案进行评审，包括但不限于:(1)整体工作部署情况:(2)供货人员配备情况(分工明确):(3)供货保障措施;(4)供货进度保证措施;(5)到达供货地点后的货物交接验收方案。以上要素内容每缺少一项扣2分，每项中每有一处存在缺陷或不足、内容不完整或不符合项目实际情况的扣1分，每一项要素内容最多扣2分，本项最多扣10分，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w:t>
            </w:r>
          </w:p>
        </w:tc>
        <w:tc>
          <w:tcPr>
            <w:tcW w:type="dxa" w:w="3115"/>
          </w:tcPr>
          <w:p>
            <w:pPr>
              <w:pStyle w:val="null5"/>
              <w:jc w:val="left"/>
            </w:pPr>
            <w:r>
              <w:rPr>
                <w:rFonts w:ascii="仿宋_GB2312" w:hAnsi="仿宋_GB2312" w:cs="仿宋_GB2312" w:eastAsia="仿宋_GB2312"/>
              </w:rPr>
              <w:t>根据供应商提供的所投产品的质量保证体系进行评审，包括但不限于:(1)质量管理组织机构;(2)质量关键点分析及应对:(3)有明确的奖惩措施;(4)产品整体质量状况及稳定性、安全性、节能环保。以上要素内容每缺少一项扣2.5分，每项中每有一处存在缺陷或不足、内容不完整或不符合项目实际情况的扣1.5分。每一项要素内容最多扣2.5分，本项最多扣10分。 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根据供应商制定的详尽的、适应本项目的运输方案进行评审，包括但不限于:(1)货物包装;(2)货物出库:(3)货物运输过程及运输车辆配情况;(4)季节性运输方案。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供应商提供的应急方案措施进行评审，包括但不限于:(1)突发事件应急预案及处理能力;(2)邻近供货期货物不足紧急方案;(3)应急人员力量配备方案;(4)应急运输能力方案。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内容具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针对本项目供应商拟定的售后服务方案进行评审，包括但不限于:(1)专业的售后服务人员及服务热线:(2)售后响应时间:(3)售后服务内容;(4)质保期后的服务方案。以上要素内容每缺少一项扣2.5分，每项中每有一处存在缺陷或不足、内容不完整或不符合项目实际情况的扣1.5分。每一项要素内容最多扣2.5分，本项最多扣10分。注:(1)缺陷或不是指内容逻辑混乱，不符合相关的国家、行业标准:(2)不完整指内容县有明显缺陷，前后内容无法连贯，不符合项目实际情况(内容脱离了实际采购情况)不利于采购人依照方案实施项目。</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近年供应商承担过相同或类似业绩每有一项得2分，最高得8分。(以合同为准，响应性文件中须附扫描件，不提供不得分)。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质保承诺</w:t>
            </w:r>
          </w:p>
        </w:tc>
        <w:tc>
          <w:tcPr>
            <w:tcW w:type="dxa" w:w="3115"/>
          </w:tcPr>
          <w:p>
            <w:pPr>
              <w:pStyle w:val="null5"/>
              <w:jc w:val="left"/>
            </w:pPr>
            <w:r>
              <w:rPr>
                <w:rFonts w:ascii="仿宋_GB2312" w:hAnsi="仿宋_GB2312" w:cs="仿宋_GB2312" w:eastAsia="仿宋_GB2312"/>
              </w:rPr>
              <w:t>满足采购文件质保期要求(本项目除个别标注外其余所有产品要求质保期1年)的基础上，质保期每增加1年得2分，最多得2分(需作出承诺说明)。</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