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商都县城西白安高速公路两侧防风抑尘网建设工程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商都县交通运输局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内蒙古祥和项目管理有限公司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WSZCSDS-C-G-250002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内蒙古祥和项目管理有限公司</w:t>
      </w:r>
      <w:r>
        <w:rPr>
          <w:rFonts w:ascii="仿宋_GB2312" w:hAnsi="仿宋_GB2312" w:cs="仿宋_GB2312" w:eastAsia="仿宋_GB2312"/>
        </w:rPr>
        <w:t xml:space="preserve"> 受 </w:t>
      </w:r>
      <w:r>
        <w:rPr>
          <w:rFonts w:ascii="仿宋_GB2312" w:hAnsi="仿宋_GB2312" w:cs="仿宋_GB2312" w:eastAsia="仿宋_GB2312"/>
        </w:rPr>
        <w:t>商都县交通运输局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商都县城西白安高速公路两侧防风抑尘网建设工程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商都县城西白安高速公路两侧防风抑尘网建设工程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WSZCSDS-C-G-250002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乌政采计划[2025]商都00019</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1,058,015.00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商都县城西白安高速公路两侧防风抑尘网建设工程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1,058,015.00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1、资格条件：投标人须具备建设行政主管部门核发的市政公用工程施工总承包叁级及以上资质(有效期内)并具有安全生产许可证(有效期内)。</w:t>
      </w:r>
    </w:p>
    <w:p>
      <w:pPr>
        <w:pStyle w:val="null5"/>
        <w:jc w:val="left"/>
      </w:pPr>
      <w:r>
        <w:rPr>
          <w:rFonts w:ascii="仿宋_GB2312" w:hAnsi="仿宋_GB2312" w:cs="仿宋_GB2312" w:eastAsia="仿宋_GB2312"/>
        </w:rPr>
        <w:t>2、资格条件：投标人拟派项目经理须是本企业注册具有市政公用工程专业贰级及以上注册建造师资格及有效的安全生产考核合格证。</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内蒙古祥和项目管理有限公司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 xml:space="preserve"> 乌兰察布市集宁区正和路与致远街交汇处2楼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012000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陈晓萌</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15247409735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商都县交通运输局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商都县祥和广场东</w:t>
      </w:r>
    </w:p>
    <w:p>
      <w:pPr>
        <w:pStyle w:val="null5"/>
      </w:pPr>
      <w:r>
        <w:rPr>
          <w:rFonts w:ascii="仿宋_GB2312" w:hAnsi="仿宋_GB2312" w:cs="仿宋_GB2312" w:eastAsia="仿宋_GB2312"/>
        </w:rPr>
        <w:t xml:space="preserve"> 邮编： </w:t>
      </w:r>
      <w:r>
        <w:rPr>
          <w:rFonts w:ascii="仿宋_GB2312" w:hAnsi="仿宋_GB2312" w:cs="仿宋_GB2312" w:eastAsia="仿宋_GB2312"/>
        </w:rPr>
        <w:t>013450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乔志东</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0474-6917007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代理服务费收费标准：参照【内工建协（2022）34号】文件代理费计算方法收取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商都县交通运输局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内蒙古祥和项目管理有限公司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商都县城西白安高速公路两侧防风抑尘网建设工程</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合同签订之日起40日历天</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商都县</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1、合同签订并进场后，付合同金额的30%，达到付款条件起30日，支付合同总金额的30.00%</w:t>
            </w:r>
          </w:p>
          <w:p>
            <w:pPr>
              <w:pStyle w:val="null5"/>
              <w:jc w:val="left"/>
            </w:pPr>
            <w:r>
              <w:rPr>
                <w:rFonts w:ascii="仿宋_GB2312" w:hAnsi="仿宋_GB2312" w:cs="仿宋_GB2312" w:eastAsia="仿宋_GB2312"/>
              </w:rPr>
              <w:t>2、按照工程进度，付合同金额的50%，达到付款条件起30日，支付合同总金额的50.00%</w:t>
            </w:r>
          </w:p>
          <w:p>
            <w:pPr>
              <w:pStyle w:val="null5"/>
              <w:jc w:val="left"/>
            </w:pPr>
            <w:r>
              <w:rPr>
                <w:rFonts w:ascii="仿宋_GB2312" w:hAnsi="仿宋_GB2312" w:cs="仿宋_GB2312" w:eastAsia="仿宋_GB2312"/>
              </w:rPr>
              <w:t>3、竣工验收合格并审计结束后，付至审定金额的100%，达到付款条件起30日，支付合同总金额的20.00%</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标的名称：商都县城西白安高速公路两侧防风抑尘网建设工程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具体技术参数及性能指标详见附件工程量清单，供应商应按照工程量清单进行报价，并将已报价的工程</w:t>
            </w:r>
            <w:r>
              <w:rPr>
                <w:rFonts w:ascii="仿宋_GB2312" w:hAnsi="仿宋_GB2312" w:cs="仿宋_GB2312" w:eastAsia="仿宋_GB2312"/>
                <w:sz w:val="19"/>
                <w:color w:val="000000"/>
              </w:rPr>
              <w:t>量清单附在响应文件内。</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审查供应商提供的具有良好的商业信誉和健全的财务会计制度的相关材料或承诺书。</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审查供应商提供的依法缴纳税收和社会保障资金的相关材料或承诺书。</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资格条件</w:t>
            </w:r>
          </w:p>
        </w:tc>
        <w:tc>
          <w:tcPr>
            <w:tcW w:type="dxa" w:w="4984"/>
          </w:tcPr>
          <w:p>
            <w:pPr>
              <w:pStyle w:val="null5"/>
              <w:jc w:val="left"/>
            </w:pPr>
            <w:r>
              <w:rPr>
                <w:rFonts w:ascii="仿宋_GB2312" w:hAnsi="仿宋_GB2312" w:cs="仿宋_GB2312" w:eastAsia="仿宋_GB2312"/>
              </w:rPr>
              <w:t>投标人须具备建设行政主管部门核发的市政公用工程施工总承包叁级及以上资质(有效期内)并具有安全生产许可证(有效期内)。</w:t>
            </w:r>
          </w:p>
        </w:tc>
      </w:tr>
      <w:tr>
        <w:tc>
          <w:tcPr>
            <w:tcW w:type="dxa" w:w="3322"/>
          </w:tcPr>
          <w:p>
            <w:pPr>
              <w:pStyle w:val="null5"/>
              <w:jc w:val="left"/>
            </w:pPr>
            <w:r>
              <w:rPr>
                <w:rFonts w:ascii="仿宋_GB2312" w:hAnsi="仿宋_GB2312" w:cs="仿宋_GB2312" w:eastAsia="仿宋_GB2312"/>
              </w:rPr>
              <w:t>资格条件</w:t>
            </w:r>
          </w:p>
        </w:tc>
        <w:tc>
          <w:tcPr>
            <w:tcW w:type="dxa" w:w="4984"/>
          </w:tcPr>
          <w:p>
            <w:pPr>
              <w:pStyle w:val="null5"/>
              <w:jc w:val="left"/>
            </w:pPr>
            <w:r>
              <w:rPr>
                <w:rFonts w:ascii="仿宋_GB2312" w:hAnsi="仿宋_GB2312" w:cs="仿宋_GB2312" w:eastAsia="仿宋_GB2312"/>
              </w:rPr>
              <w:t>投标人拟派项目经理须是本企业注册具有市政公用工程专业贰级及以上注册建造师资格及有效的安全生产考核合格证。</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商务部分10.00分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施工技术方案</w:t>
            </w:r>
          </w:p>
        </w:tc>
        <w:tc>
          <w:tcPr>
            <w:tcW w:type="dxa" w:w="3115"/>
          </w:tcPr>
          <w:p>
            <w:pPr>
              <w:pStyle w:val="null5"/>
              <w:jc w:val="left"/>
            </w:pPr>
            <w:r>
              <w:rPr>
                <w:rFonts w:ascii="仿宋_GB2312" w:hAnsi="仿宋_GB2312" w:cs="仿宋_GB2312" w:eastAsia="仿宋_GB2312"/>
              </w:rPr>
              <w:t>施工技术方案编制合理、部署全面、内容具体详实且针对性强，可按照施工技术方案编制内容高效有序的组织项目实施的，得10（含）-15分，施工技术方案编制内容与实际采购项目相符，编制内容能够保证项目的正常实施的，得5（含）-10分，施工技术方案编制内容相对简单，存在项目实施进度缓慢的，得1（含）-5分，施工技术方案不合理的或未提供的，不得分。</w:t>
            </w:r>
          </w:p>
        </w:tc>
        <w:tc>
          <w:tcPr>
            <w:tcW w:type="dxa" w:w="1038"/>
          </w:tcPr>
          <w:p>
            <w:pPr>
              <w:pStyle w:val="null5"/>
              <w:jc w:val="right"/>
            </w:pPr>
            <w:r>
              <w:rPr>
                <w:rFonts w:ascii="仿宋_GB2312" w:hAnsi="仿宋_GB2312" w:cs="仿宋_GB2312" w:eastAsia="仿宋_GB2312"/>
              </w:rPr>
              <w:t>15.00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施工进度计划</w:t>
            </w:r>
          </w:p>
        </w:tc>
        <w:tc>
          <w:tcPr>
            <w:tcW w:type="dxa" w:w="3115"/>
          </w:tcPr>
          <w:p>
            <w:pPr>
              <w:pStyle w:val="null5"/>
              <w:jc w:val="left"/>
            </w:pPr>
            <w:r>
              <w:rPr>
                <w:rFonts w:ascii="仿宋_GB2312" w:hAnsi="仿宋_GB2312" w:cs="仿宋_GB2312" w:eastAsia="仿宋_GB2312"/>
              </w:rPr>
              <w:t>施工进度计划与工序搭配逻辑关系和关键线路清晰、合理，进度内容全面针对性强，能够高效有序引导施工开展的，得7（含）-10分，施工进度计划可行，能够正常引导施工开展的，得4（含）-7分，施工进度计划编制简单，工序搭配逻辑关系阐述不够清晰的得1（含）-4分，施工进度计划不合理或未提供施工进度计划的，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质量保证措施</w:t>
            </w:r>
          </w:p>
        </w:tc>
        <w:tc>
          <w:tcPr>
            <w:tcW w:type="dxa" w:w="3115"/>
          </w:tcPr>
          <w:p>
            <w:pPr>
              <w:pStyle w:val="null5"/>
              <w:jc w:val="left"/>
            </w:pPr>
            <w:r>
              <w:rPr>
                <w:rFonts w:ascii="仿宋_GB2312" w:hAnsi="仿宋_GB2312" w:cs="仿宋_GB2312" w:eastAsia="仿宋_GB2312"/>
              </w:rPr>
              <w:t>质量保证方案具体、完整，保证措施完善、先进且针对性强的得7（含）-9分，质量保证方案可行，保证措施描述合理的得4（含）-7分，质量保证方案描述简单，保证措施不够详细的得1（含）-4分，质量保证方案和保证措施不合理或未提供的，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安全施工保证措施</w:t>
            </w:r>
          </w:p>
        </w:tc>
        <w:tc>
          <w:tcPr>
            <w:tcW w:type="dxa" w:w="3115"/>
          </w:tcPr>
          <w:p>
            <w:pPr>
              <w:pStyle w:val="null5"/>
              <w:jc w:val="left"/>
            </w:pPr>
            <w:r>
              <w:rPr>
                <w:rFonts w:ascii="仿宋_GB2312" w:hAnsi="仿宋_GB2312" w:cs="仿宋_GB2312" w:eastAsia="仿宋_GB2312"/>
              </w:rPr>
              <w:t>安全施工方案具体、完整，保证措施完善、先进且针对性强的得7（含）-9分，安全施工方案可行，保证措施描述合理的得4（含）-7分，安全施工方案描述简单，保证措施不够详细的得1（含）-4分，安全施工方案和保证措施不合理或未提供的，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环境保护管理措施</w:t>
            </w:r>
          </w:p>
        </w:tc>
        <w:tc>
          <w:tcPr>
            <w:tcW w:type="dxa" w:w="3115"/>
          </w:tcPr>
          <w:p>
            <w:pPr>
              <w:pStyle w:val="null5"/>
              <w:jc w:val="left"/>
            </w:pPr>
            <w:r>
              <w:rPr>
                <w:rFonts w:ascii="仿宋_GB2312" w:hAnsi="仿宋_GB2312" w:cs="仿宋_GB2312" w:eastAsia="仿宋_GB2312"/>
              </w:rPr>
              <w:t>环境保护管理方案具体、完整，保证措施先进且针对性强的得7（含）-9分，环境保护管理方案可行，保证措施描述合理的4（含）-7分，环境保护管理方案描述简单，保证措施不够详实的1（含）-4分，环境保护管理措施不合理或未提供的，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施工机械、劳动力安排搭配合理与施工进度计划呼应，完全满足施工要求，能够保证施工高效有序开展的得6（含）-8分，施工机械、劳动力安排可行、数量搭配合理，能够保证施工正常开展的得3（含）-6分，施工机械、劳动力安排计划过于简单存在项目实施进度缓慢的1（含）-3分，施工机械、劳动力安排计划不合理或未提供的，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人员配备</w:t>
            </w:r>
          </w:p>
        </w:tc>
        <w:tc>
          <w:tcPr>
            <w:tcW w:type="dxa" w:w="3115"/>
          </w:tcPr>
          <w:p>
            <w:pPr>
              <w:pStyle w:val="null5"/>
              <w:jc w:val="left"/>
            </w:pPr>
            <w:r>
              <w:rPr>
                <w:rFonts w:ascii="仿宋_GB2312" w:hAnsi="仿宋_GB2312" w:cs="仿宋_GB2312" w:eastAsia="仿宋_GB2312"/>
              </w:rPr>
              <w:t>拟派项目管理班子人员结构合理、专业配备齐全（需提供相应的证书）最多得6分，每缺少一项（施工员、资料员、安全员、材料员、质量员、预算员或造价员）扣1分，扣完为止。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每提供一项业绩得2分，最多得4分。（注：以中标通知书或施工合同为依据）</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详见附件：依法缴纳税收和社会保障资金的良好记录的相关材料或承诺书</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详见附件：具备履行合同所必需设备和专业技术能力的声明函或承诺书</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