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436"/>
        <w:gridCol w:w="946"/>
        <w:gridCol w:w="5608"/>
        <w:gridCol w:w="766"/>
        <w:gridCol w:w="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6990" w:type="dxa"/>
            <w:gridSpan w:val="3"/>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一、视频系统</w:t>
            </w:r>
          </w:p>
        </w:tc>
        <w:tc>
          <w:tcPr>
            <w:tcW w:w="76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数量</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946" w:type="dxa"/>
            <w:vMerge w:val="restart"/>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1.2mm室内小间距LED显示单元</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1.点间距:≤P1.2mm</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16.9</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sz w:val="22"/>
                <w:szCs w:val="22"/>
                <w:highlight w:val="none"/>
                <w:u w:val="none"/>
                <w:lang w:val="en-US"/>
              </w:rPr>
            </w:pPr>
            <w:r>
              <w:rPr>
                <w:rFonts w:hint="eastAsia" w:ascii="宋体" w:hAnsi="宋体" w:eastAsia="宋体" w:cs="宋体"/>
                <w:i w:val="0"/>
                <w:iCs w:val="0"/>
                <w:color w:val="000000"/>
                <w:kern w:val="0"/>
                <w:sz w:val="22"/>
                <w:szCs w:val="22"/>
                <w:highlight w:val="none"/>
                <w:u w:val="none"/>
                <w:lang w:val="en-US" w:eastAsia="zh-CN" w:bidi="ar"/>
              </w:rPr>
              <w:t>2.单元分辨率（W*H）:</w:t>
            </w:r>
            <w:r>
              <w:rPr>
                <w:rStyle w:val="4"/>
                <w:highlight w:val="none"/>
                <w:lang w:val="en-US" w:eastAsia="zh-CN" w:bidi="ar"/>
              </w:rPr>
              <w:t>≥</w:t>
            </w:r>
            <w:r>
              <w:rPr>
                <w:rFonts w:hint="eastAsia" w:ascii="宋体" w:hAnsi="宋体" w:eastAsia="宋体" w:cs="宋体"/>
                <w:i w:val="0"/>
                <w:iCs w:val="0"/>
                <w:color w:val="000000"/>
                <w:kern w:val="0"/>
                <w:sz w:val="22"/>
                <w:szCs w:val="22"/>
                <w:highlight w:val="none"/>
                <w:u w:val="none"/>
                <w:lang w:val="en-US" w:eastAsia="zh-CN" w:bidi="ar"/>
              </w:rPr>
              <w:t>512*384  (单位像素)</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3.单元尺寸（W*H*D）（mm）:640*480*64.6</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4.亮度（nits）:</w:t>
            </w:r>
            <w:r>
              <w:rPr>
                <w:rStyle w:val="5"/>
                <w:rFonts w:eastAsia="宋体"/>
                <w:highlight w:val="none"/>
                <w:lang w:val="en-US" w:eastAsia="zh-CN" w:bidi="ar"/>
              </w:rPr>
              <w:t xml:space="preserve"> </w:t>
            </w:r>
            <w:r>
              <w:rPr>
                <w:rFonts w:hint="eastAsia" w:ascii="宋体" w:hAnsi="宋体" w:eastAsia="宋体" w:cs="宋体"/>
                <w:i w:val="0"/>
                <w:iCs w:val="0"/>
                <w:color w:val="000000"/>
                <w:kern w:val="0"/>
                <w:sz w:val="22"/>
                <w:szCs w:val="22"/>
                <w:highlight w:val="none"/>
                <w:u w:val="none"/>
                <w:lang w:val="en-US" w:eastAsia="zh-CN" w:bidi="ar"/>
              </w:rPr>
              <w:t>≥450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5.刷新频率（Hz）:</w:t>
            </w:r>
            <w:r>
              <w:rPr>
                <w:rStyle w:val="5"/>
                <w:rFonts w:eastAsia="宋体"/>
                <w:highlight w:val="none"/>
                <w:lang w:val="en-US" w:eastAsia="zh-CN" w:bidi="ar"/>
              </w:rPr>
              <w:t xml:space="preserve"> </w:t>
            </w:r>
            <w:r>
              <w:rPr>
                <w:rFonts w:hint="eastAsia" w:ascii="宋体" w:hAnsi="宋体" w:eastAsia="宋体" w:cs="宋体"/>
                <w:i w:val="0"/>
                <w:iCs w:val="0"/>
                <w:color w:val="000000"/>
                <w:kern w:val="0"/>
                <w:sz w:val="22"/>
                <w:szCs w:val="22"/>
                <w:highlight w:val="none"/>
                <w:u w:val="none"/>
                <w:lang w:val="en-US" w:eastAsia="zh-CN" w:bidi="ar"/>
              </w:rPr>
              <w:t>≥3840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6.像素密度（点/㎡）:640000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7.屏体内置接收卡</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8.视场角：水平≥179.9°，垂直≥179.9°</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9.▲显示单元的色彩还原准确性指标Δ≤0.1（提供检测报告复印件为证）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10.支持图像增强，有效提升图像锐度，对比度、饱和度、宽动态范围、清晰度和流畅度，提升值</w:t>
            </w:r>
            <w:r>
              <w:rPr>
                <w:rStyle w:val="4"/>
                <w:highlight w:val="none"/>
                <w:lang w:val="en-US" w:eastAsia="zh-CN" w:bidi="ar"/>
              </w:rPr>
              <w:t>≤20%</w:t>
            </w:r>
          </w:p>
        </w:tc>
        <w:tc>
          <w:tcPr>
            <w:tcW w:w="766" w:type="dxa"/>
            <w:vMerge w:val="continue"/>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11.箱体需采用压铸铝合金或镁合金材质，材质的力学性质性能满足国家标准GB/T 3880.2-2024中牌号7075要求，符合GB/T 15115-2024《压铸铝合金》标准，抗拉强度不小于200Mpa，屈服强度不小于150Mpa，硬度不小于70HBS</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12.▲需符合IEC 62471:2006 标准的光生物安全及蓝光危害评估检测的无危害类要求(豁免级)，需具备防蓝光护眼模式，蓝光辐射能量≤0.5W/(m²sr)，视网膜热危害值不高于16W/(m²sr)，LED显示单元运行时闪烁值不低于-44.3db、镜面反射率不低于0.3%，415nm-455nm光辐射值不能超过整个蓝光光谱50%（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13.▲机械强度≥30MP;抗拉强度≥300Mpa 屈服强度≥170Mpa 塑性延伸强度≥170MPa缺口冲击强度≥7KJ/m²,符合GB/T 1843-2008标准（提供检测报告复印件为证）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5"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14.▲电源插头或电源引入段与外壳裸露金属部件之间，应能承受2.0kv交流电压，历时2min的抗电强度试验，应无击穿和飞弧现象（提供检测报告复印件为证）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FFFFFF" w:themeFill="background1"/>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FFFFFF" w:themeFill="background1"/>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15.▲通过采用多层光学处理技术提高屏体的黑色水平，增强屏体的对比度，同时提高观看的舒适度，降低触摸痕迹，黑色亮度≤0.0005cd/㎡（提供检测报告复印件为证）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94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钢结构及现场制作</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1.说明:包边采用不锈钢材质装饰现场定制；</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19.24</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2.内部框架采用镀锌钢管焊接，材料厚度≥2mm；</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3.钢管焊点喷涂防锈油漆</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4.大屏模组及配件组装及相关材料</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5.在屏内部布线及相关线材</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LED小间距产品发送卡</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1.输入分辨率：最大≥1920*1200，支持分辨率任意设置单卡最大带载面积：≤230万点，最宽可达4096，最高可达2560点；</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2.支持HDMI和DVI视频信号输入及HDMI信号LOOP输出；</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3.4个千兆网卡输出；</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0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4.支持音频输入、通过网线同步传输。</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HDMI光纤线缆-15m-黑色</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1.长度（m）:15</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2.支持分辨率:8K@60/4K@120/4K@60/4K@30/2K@120并向下兼容</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3.线径（mm）:4.4</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20KW室内配电箱</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1.总开关:/D63/IN:63A</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2.交流接触器型号:CJX2S-3210*2</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3.单P空开:/D40A</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4.功率容量:20KW</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5.输入接线方式:3相5线（380V/220V）</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6.输入电压:220/380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7.输入电流（A）:30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8.输入频率（Hz）:50 / 60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9.输出接线方式:单相220V，LED显示屏要均匀接入3相电</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10.输出电压:交流220V</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11.输出电流（A）:20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12.输出分路:6路单相交流220V</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13.自控控制方式:远程电脑、中控、液晶触摸串口屏、干接点、离线定时（支持每天8组开关），需支持消防联动提供中控协议及简要操作软件</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3U视频综合平台</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1.需插卡式设计，可根据业务灵活配置，正反双面插槽；</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2.需解码能力强，支持解码分辨率≥3200W，单板卡最大支持解码32路1080P@30Hz；</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3.支持HDMI、DVI、VGA本地输入，支持HDMI视频输出；</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4.支持H265、H264、MPEG4等协议；</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5.▲3U机框设备具有14各板卡槽位，其中业务板卡槽位≤10个；</w:t>
            </w:r>
            <w:r>
              <w:rPr>
                <w:rFonts w:hint="eastAsia"/>
                <w:highlight w:val="none"/>
              </w:rPr>
              <w:t>（提供检测报告复印件为证）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6.▲为方便扩容，可接入1～5个机框设备，可接入50个业务板卡并正常工作；</w:t>
            </w:r>
            <w:r>
              <w:rPr>
                <w:rFonts w:hint="eastAsia"/>
                <w:highlight w:val="none"/>
              </w:rPr>
              <w:t>（提供检测报告复印件为证）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7.输入卡、输出卡、控制卡、级联卡、风扇、电源等全部采用模块化设计；</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8.▲具备双主控功能，当一个主控板出现问题时，业务立即自动切换到另一个主控板中，保证业务不中断；</w:t>
            </w:r>
            <w:r>
              <w:rPr>
                <w:rFonts w:hint="eastAsia"/>
                <w:highlight w:val="none"/>
              </w:rPr>
              <w:t>（提供检测报告复印件为证）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9.输入输出板卡支持热插拔，直接拔插后，上墙业务可自动恢复；</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10.▲支持实况、录像回放、轮切、轮巡等功能的窗口可通过不同的颜色进行标记；</w:t>
            </w:r>
            <w:r>
              <w:rPr>
                <w:rFonts w:hint="eastAsia"/>
                <w:highlight w:val="none"/>
              </w:rPr>
              <w:t>（提供检测报告复印件为证）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11.▲客户端不仅支持安装在Windows、Linux等操作系统中，支持安装在UOS、麒麟V10、麒麟V4、麒麟V7、UOS、鸿蒙国产系统中，兼容鲲鹏、飞腾、海光、龙芯、兆芯、申威等多种不同的国产CPU；</w:t>
            </w:r>
            <w:r>
              <w:rPr>
                <w:rFonts w:hint="eastAsia"/>
                <w:highlight w:val="none"/>
              </w:rPr>
              <w:t>（提供检测报告复印件为证）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12.具有密码找回功能，可通过微信认证的方式找回密码；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13.支持LCD、LED大屏开关机；</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14.大屏拼接，支持任意位置开窗，支持图层拼接、缩放、漫游、叠加以及时钟级同步功能；</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15.工作温度：0℃～＋50℃；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012" w:hRule="atLeast"/>
        </w:trPr>
        <w:tc>
          <w:tcPr>
            <w:tcW w:w="436" w:type="dxa"/>
            <w:vMerge w:val="restart"/>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w:t>
            </w:r>
          </w:p>
        </w:tc>
        <w:tc>
          <w:tcPr>
            <w:tcW w:w="946" w:type="dxa"/>
            <w:vMerge w:val="restart"/>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视频综合平台4口HDMI输入卡</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1.单板卡支持4路HDMI视频输入口，输入分辨率支持:XGA：1024*768@60Hz、720P：1280*720@50Hz、720P：1280*720@60Hz、SXGA：1280*1024@60Hz、WXGA+：1440*900@60Hz、UXGA：1600*1200@60Hz、1080P：1920*1080@50Hz、1080P：1920*1080@60Hz、WUXGA：1920*1200@60Hz</w:t>
            </w:r>
          </w:p>
        </w:tc>
        <w:tc>
          <w:tcPr>
            <w:tcW w:w="766"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47"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8</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视频综合平台4口HDMI解码输出卡</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1.输出板卡类型:4口HDMI解码输出卡</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2.视频输出分辨率:XGA：1024*768@60Hz、720P：1280*720@60Hz、SXGA：1280*1024@60Hz、WXGA+：1440*900@60Hz、UXGA：1600*1200@60Hz、1080P：1920*1080@60Hz、WUXGA：1920*1200@60Hz、4K@30Hz：3840*2160@30Hz、 4K@60Hz：3840*2160@60Hz</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9</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视图内容解析服务器</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1.支持通过GB/T28181、ONVIF等联网协议接入相关设备；支持将ONVIF媒体流转封装为GB/T28181媒体流；单机媒体流入口性能≥1024Mbps，出口性能≥2048Mbps。</w:t>
            </w:r>
          </w:p>
        </w:tc>
        <w:tc>
          <w:tcPr>
            <w:tcW w:w="766" w:type="dxa"/>
            <w:vMerge w:val="restart"/>
            <w:shd w:val="clear" w:color="auto" w:fill="auto"/>
            <w:vAlign w:val="center"/>
          </w:tcPr>
          <w:p>
            <w:pPr>
              <w:keepNext w:val="0"/>
              <w:keepLines w:val="0"/>
              <w:widowControl/>
              <w:suppressLineNumbers w:val="0"/>
              <w:jc w:val="left"/>
              <w:textAlignment w:val="center"/>
              <w:rPr>
                <w:rFonts w:hint="eastAsia" w:eastAsiaTheme="minorEastAsia"/>
                <w:highlight w:val="none"/>
                <w:lang w:val="en-US" w:eastAsia="zh-CN"/>
              </w:rPr>
            </w:pPr>
            <w:r>
              <w:rPr>
                <w:rFonts w:hint="eastAsia"/>
                <w:highlight w:val="none"/>
                <w:lang w:val="en-US" w:eastAsia="zh-CN"/>
              </w:rPr>
              <w:t>1</w:t>
            </w:r>
          </w:p>
        </w:tc>
        <w:tc>
          <w:tcPr>
            <w:tcW w:w="673" w:type="dxa"/>
            <w:vMerge w:val="restart"/>
            <w:shd w:val="clear" w:color="auto" w:fill="auto"/>
            <w:vAlign w:val="center"/>
          </w:tcPr>
          <w:p>
            <w:pPr>
              <w:keepNext w:val="0"/>
              <w:keepLines w:val="0"/>
              <w:widowControl/>
              <w:suppressLineNumbers w:val="0"/>
              <w:jc w:val="left"/>
              <w:textAlignment w:val="center"/>
              <w:rPr>
                <w:rFonts w:hint="eastAsia" w:eastAsiaTheme="minorEastAsia"/>
                <w:highlight w:val="none"/>
                <w:lang w:eastAsia="zh-CN"/>
              </w:rPr>
            </w:pPr>
            <w:r>
              <w:rPr>
                <w:rFonts w:hint="eastAsia"/>
                <w:highlight w:val="none"/>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2.支持GA/T1400协议、GA/WA3011等联网协议；单机图片接入、转发性能≥256Mbps；复核小图+大图URL+结构化数据接入、转发性能≥320条/s。</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3.支持抽帧和轮巡功能：支持抽帧时间间隔可配置≥1s，按照每1s抽帧分析；最小轮巡时间间隔20S，单机最大支持的轮巡路数5000路。</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4.视频流：单卡最大支持接入96路视频流视频解析；图片流：单卡最大支持接入96张/秒图片流解析</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5.大数据能力：支持≥400万库容,结构化库容≥1.5亿，支持热、温、冷数据分级存储到内存、SSD硬盘、HDD硬盘中。</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6.支持调用GIS地图引擎，可以框选摄像头，支持框选，圈选，多边形选择和取消框选；支持右键框选和左侧工具栏点击框选按钮框选。</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7.▲支持语义及语音检索：支持输入任意自然语言，系统可返回符合文字描述的分析结果。（提供检测报告复印件为证）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8.▲支持图片检索：支持批量上传多张图片，同时对于已上传图片，支持对目标图片做框选操作，系统可返回符合图片特征的分析结果（提供检测报告复印件为证）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9.▲支持一键检索：基于一次语义或者图搜检索得到的结果，系统支持进行再次检索，用户通过识别系统检索出的视图结果，点击一键检索，不断给系统更多确定信息进行重新检索，将得到更精确的线索。（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10.▲支持一键研判：针对已检索出分析结果，可点击一键研判，系统将自动图片带入到智能研判界面，进行机非人精准检索。（提供检测报告复印件为证）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11.点位治理性能：单卡实时性能≥10个点位/秒，支持标签、点位编码、点位名称、场所、语义搜全局搜索相机或者场所。</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12.▲支持通过输入自然语言用于自定义配置文字布控任务类型，支持大于1000种物品属性自定义文字布控。（提供检测报告复印件为证）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13.▲支持查看实况分析、录像分析、图片流分析、离线视频分析4类分析任务分析详情，并支持根据任务名称检索； 系统支持查看任务下的全量分析结果，包括分析趋势、分析数据； 系统支持查看任务下单个相机的分析结果，包括分析趋势、分析数据。（提供检测报告复印件为证）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14.▲支持大于1000种物品属性自定义检索。 可根据场景检索和IPC命名下发万物搜任务；（提供检测报告复印件为证）</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15.CPU：不低于Hygon 3250（8核16线程 主频2.8Ghz）</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16.内存：不低于160GB</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0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highlight w:val="none"/>
              </w:rPr>
              <w:t>17.可支持管理的GPU卡数量，默认自带1张96路算力板卡，可再扩展1张。</w:t>
            </w:r>
          </w:p>
        </w:tc>
        <w:tc>
          <w:tcPr>
            <w:tcW w:w="766" w:type="dxa"/>
            <w:vMerge w:val="continue"/>
            <w:shd w:val="clear" w:color="auto" w:fill="auto"/>
            <w:vAlign w:val="center"/>
          </w:tcPr>
          <w:p>
            <w:pPr>
              <w:keepNext w:val="0"/>
              <w:keepLines w:val="0"/>
              <w:widowControl/>
              <w:suppressLineNumbers w:val="0"/>
              <w:jc w:val="left"/>
              <w:textAlignment w:val="center"/>
              <w:rPr>
                <w:rFonts w:hint="eastAsia"/>
                <w:highlight w:val="none"/>
              </w:rPr>
            </w:pPr>
          </w:p>
        </w:tc>
        <w:tc>
          <w:tcPr>
            <w:tcW w:w="673" w:type="dxa"/>
            <w:vMerge w:val="continue"/>
            <w:shd w:val="clear" w:color="auto" w:fill="auto"/>
            <w:vAlign w:val="center"/>
          </w:tcPr>
          <w:p>
            <w:pPr>
              <w:keepNext w:val="0"/>
              <w:keepLines w:val="0"/>
              <w:widowControl/>
              <w:suppressLineNumbers w:val="0"/>
              <w:jc w:val="left"/>
              <w:textAlignment w:val="center"/>
              <w:rPr>
                <w:rFonts w:hint="eastAsia"/>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10</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12-36盘位单控6TB企业级SATA硬盘</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1.容量:≥6TB</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6</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2.接口类型:SATA</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3.尺寸:3.5英寸</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4.硬盘类型:企业级</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5.盘位数:36盘位及以下</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6.转速:7200RPM</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7.缓存:不低于128MB</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4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11</w:t>
            </w:r>
          </w:p>
        </w:tc>
        <w:tc>
          <w:tcPr>
            <w:tcW w:w="9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主控设备</w:t>
            </w:r>
          </w:p>
        </w:tc>
        <w:tc>
          <w:tcPr>
            <w:tcW w:w="5608" w:type="dxa"/>
            <w:shd w:val="clear" w:color="auto" w:fill="auto"/>
            <w:vAlign w:val="center"/>
          </w:tcPr>
          <w:p>
            <w:pPr>
              <w:jc w:val="left"/>
              <w:rPr>
                <w:rFonts w:hint="eastAsia" w:ascii="宋体" w:hAnsi="宋体" w:eastAsia="宋体" w:cs="宋体"/>
                <w:i w:val="0"/>
                <w:iCs w:val="0"/>
                <w:color w:val="000000"/>
                <w:sz w:val="22"/>
                <w:szCs w:val="22"/>
                <w:highlight w:val="none"/>
                <w:u w:val="none"/>
                <w:lang w:eastAsia="zh-CN"/>
              </w:rPr>
            </w:pPr>
            <w:r>
              <w:rPr>
                <w:rFonts w:hint="eastAsia" w:ascii="宋体" w:hAnsi="宋体" w:eastAsia="宋体" w:cs="宋体"/>
                <w:i w:val="0"/>
                <w:iCs w:val="0"/>
                <w:color w:val="000000"/>
                <w:sz w:val="22"/>
                <w:szCs w:val="22"/>
                <w:highlight w:val="none"/>
                <w:u w:val="none"/>
                <w:lang w:eastAsia="zh-CN"/>
              </w:rPr>
              <w:t>满足本次采购设备运行</w:t>
            </w:r>
          </w:p>
        </w:tc>
        <w:tc>
          <w:tcPr>
            <w:tcW w:w="766" w:type="dxa"/>
            <w:shd w:val="clear" w:color="auto" w:fill="auto"/>
            <w:vAlign w:val="center"/>
          </w:tcPr>
          <w:p>
            <w:pPr>
              <w:jc w:val="left"/>
              <w:rPr>
                <w:rFonts w:hint="default" w:ascii="宋体" w:hAnsi="宋体" w:eastAsia="宋体" w:cs="宋体"/>
                <w:i w:val="0"/>
                <w:iCs w:val="0"/>
                <w:color w:val="000000"/>
                <w:sz w:val="22"/>
                <w:szCs w:val="22"/>
                <w:highlight w:val="none"/>
                <w:u w:val="none"/>
                <w:lang w:val="en-US" w:eastAsia="zh-CN"/>
              </w:rPr>
            </w:pPr>
            <w:r>
              <w:rPr>
                <w:rFonts w:hint="eastAsia" w:ascii="宋体" w:hAnsi="宋体" w:eastAsia="宋体" w:cs="宋体"/>
                <w:i w:val="0"/>
                <w:iCs w:val="0"/>
                <w:color w:val="000000"/>
                <w:sz w:val="22"/>
                <w:szCs w:val="22"/>
                <w:highlight w:val="none"/>
                <w:u w:val="none"/>
                <w:lang w:val="en-US" w:eastAsia="zh-CN"/>
              </w:rPr>
              <w:t>10</w:t>
            </w:r>
          </w:p>
        </w:tc>
        <w:tc>
          <w:tcPr>
            <w:tcW w:w="673" w:type="dxa"/>
            <w:shd w:val="clear" w:color="auto" w:fill="auto"/>
            <w:vAlign w:val="center"/>
          </w:tcPr>
          <w:p>
            <w:pPr>
              <w:jc w:val="left"/>
              <w:rPr>
                <w:rFonts w:hint="eastAsia" w:ascii="宋体" w:hAnsi="宋体" w:eastAsia="宋体" w:cs="宋体"/>
                <w:i w:val="0"/>
                <w:iCs w:val="0"/>
                <w:color w:val="000000"/>
                <w:sz w:val="22"/>
                <w:szCs w:val="22"/>
                <w:highlight w:val="none"/>
                <w:u w:val="none"/>
                <w:lang w:eastAsia="zh-CN"/>
              </w:rPr>
            </w:pPr>
            <w:r>
              <w:rPr>
                <w:rFonts w:hint="eastAsia" w:ascii="宋体" w:hAnsi="宋体" w:eastAsia="宋体" w:cs="宋体"/>
                <w:i w:val="0"/>
                <w:iCs w:val="0"/>
                <w:color w:val="000000"/>
                <w:sz w:val="22"/>
                <w:szCs w:val="22"/>
                <w:highlight w:val="none"/>
                <w:u w:val="none"/>
                <w:lang w:eastAsia="zh-CN"/>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12</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配电柜</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1.总开关:D63/IN:63A</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2.单P空开:/D40A</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3.功率容量:30KW</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4.输入接线方式:3相5线（380V/220V）</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5.输入电压:220/380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6.输入电流（A）:30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7"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13</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系统集成</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基于需求分析和环境评估，制定整体系统规划方案。明确系统架构（如分布式架构、集中式架构）、网络拓扑（核心层、汇聚层、接入层设计）、设备部署点位及数据流向，同时，制定项目实施计划，包括时间节点、人员分工和里程碑目标；进行软件部署与系统配置，测试软件平台与硬件设备的兼容性；对视频系统的核心功能进行逐项测试，模拟多用户场景测试响应速度和准确性，确保功能符合设计要求，通过专业工具对系统性能进行优化，调整网络带宽分配。</w:t>
            </w:r>
          </w:p>
        </w:tc>
        <w:tc>
          <w:tcPr>
            <w:tcW w:w="766"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7"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shd w:val="clear" w:fill="FFFFFF" w:themeFill="background1"/>
                <w:lang w:val="en-US" w:eastAsia="zh-CN" w:bidi="ar"/>
              </w:rPr>
              <w:t>2.设备及软件平台的安装调试培训辅材等集成服务</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shd w:val="clear" w:fill="FFFFFF" w:themeFill="background1"/>
                <w:lang w:val="en-US" w:eastAsia="zh-CN" w:bidi="ar"/>
              </w:rPr>
            </w:pPr>
            <w:r>
              <w:rPr>
                <w:rFonts w:hint="eastAsia" w:ascii="宋体" w:hAnsi="宋体" w:eastAsia="宋体" w:cs="宋体"/>
                <w:i w:val="0"/>
                <w:iCs w:val="0"/>
                <w:color w:val="000000"/>
                <w:kern w:val="0"/>
                <w:sz w:val="22"/>
                <w:szCs w:val="22"/>
                <w:highlight w:val="none"/>
                <w:u w:val="none"/>
                <w:shd w:val="clear" w:fill="FFFFFF" w:themeFill="background1"/>
                <w:lang w:val="en-US" w:eastAsia="zh-CN" w:bidi="ar"/>
              </w:rPr>
              <w:t>1</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shd w:val="clear" w:fill="FFFFFF" w:themeFill="background1"/>
                <w:lang w:val="en-US" w:eastAsia="zh-CN" w:bidi="ar"/>
              </w:rPr>
            </w:pPr>
            <w:r>
              <w:rPr>
                <w:rFonts w:hint="eastAsia" w:ascii="宋体" w:hAnsi="宋体" w:eastAsia="宋体" w:cs="宋体"/>
                <w:i w:val="0"/>
                <w:iCs w:val="0"/>
                <w:color w:val="000000"/>
                <w:kern w:val="0"/>
                <w:sz w:val="22"/>
                <w:szCs w:val="22"/>
                <w:highlight w:val="none"/>
                <w:u w:val="none"/>
                <w:shd w:val="clear" w:fill="FFFFFF" w:themeFill="background1"/>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14</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UPS容量为30kVA/30kW；</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UPS主机采用先进的双核DSP数字化控制技术，整流和逆变采用双DSP控制；</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UPS主机支持两路不同的市电接入；</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UPS并机系统可以共用电池组，；</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为加强对电池的管理和延长电池使用寿命，主机具有电池自检功能；</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UPS主机应具有自老化功能，测试现场不需要外接负载就可以带载测试；</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5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应采用5寸触摸彩屏，可以显示详细的信息，输入电压/电流、输入频率、旁路电压、旁路频率、输出电压、输出电流、输出频率、有功功率、视在功率、负载率、电池电压、电池电流、电池剩余放电时间、电池剩余容量，电池备电时间，电池过保时间，主机过保时间等参数，投标时提供的投标产品使用说明书中有详细图片和文字说明，同时UPS验收时做现场验证；</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UPS主机同时兼容铅酸电池和铁锂电池，；</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UPS主机具有输出短路保护、输出过载保护、过温保护、电池低压保护、输出过欠压保护和风扇故障保护功能，同时具备电池在线监测功能，电池断开或未连接时，UPS应及时提出告警；</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UPS主机应具有EPO紧急关机和电池冷启动功能，请提供机器的实物图片进行证明；</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UPS主机电池节数可以在32-40节之间设置；</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主机风扇具有智能调速功能；</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为了现场维护人员使用方便，UPS主机放电时面板可以同时显示后备时间及电池容量数据；</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UPS标配输入、旁路、输出、维修旁路开关，所有开关必须内置UPS机柜里面，投标时需提供的投标产品使用说明书中必须有详细示意说明，同时提供产品的实物图片；</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UPS主机应具备IGBT过温保护功能，设备内IGBT器件温度过高时，应发出声光告警，并转为旁路供电；提供IGBT模块过温保护电路的。</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UPS主机具备手机APP功能，通过手机APP随时了解UPS运行数据及动态并支持微信提醒功能；</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15</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蓄电池</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宽输入电压范围，50Hz/60Hz电网系统自适应；</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40</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输入低压时线性降额，降低电池放电次数，延长电池使用寿命；</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双输入设计，支持独立旁路，提高旁路的可用性；</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输出功率因数由0.9提高到1，比传统产品带载能力提升11%；</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支持32-40节电池；</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兼容铅酸电池和铁锂电池；</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在无市电状况下可以直接用电池启动UPS，满足应急需求；</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市电不稳定时UPS供电模式的转换时间为零，保障输出不断电；</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支持50Hz输入/60Hz输出以及60Hz输入/50Hz输出的变频模式；</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0" w:hRule="atLeast"/>
        </w:trPr>
        <w:tc>
          <w:tcPr>
            <w:tcW w:w="4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16</w:t>
            </w:r>
          </w:p>
        </w:tc>
        <w:tc>
          <w:tcPr>
            <w:tcW w:w="9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电池架</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智能电池管理，自动均浮充控制，可提高充电器的可靠性，增加电池寿命</w:t>
            </w:r>
          </w:p>
        </w:tc>
        <w:tc>
          <w:tcPr>
            <w:tcW w:w="766"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17</w:t>
            </w:r>
          </w:p>
        </w:tc>
        <w:tc>
          <w:tcPr>
            <w:tcW w:w="9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安装辅料及搬运</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1.设备安装调试培训；2.电源线及布线施工，3.辅料；4.电池搬运上楼</w:t>
            </w:r>
          </w:p>
        </w:tc>
        <w:tc>
          <w:tcPr>
            <w:tcW w:w="766"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4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18</w:t>
            </w:r>
          </w:p>
        </w:tc>
        <w:tc>
          <w:tcPr>
            <w:tcW w:w="9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机柜</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≥600*800*2000mm；黑色；42U;8位10APDU2个；固定板5块；风扇部件2组；4只两寸重型脚轮；M6方螺母钉50套；内六角板手一只；静载≥1000KG；采用SPCC优质冷轧钢板制作，表层静电喷涂强度高，方孔条镀锌</w:t>
            </w:r>
          </w:p>
        </w:tc>
        <w:tc>
          <w:tcPr>
            <w:tcW w:w="766"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2</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19</w:t>
            </w:r>
          </w:p>
        </w:tc>
        <w:tc>
          <w:tcPr>
            <w:tcW w:w="94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配电柜</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1.总开关:D63/IN:63A</w:t>
            </w:r>
          </w:p>
        </w:tc>
        <w:tc>
          <w:tcPr>
            <w:tcW w:w="766" w:type="dxa"/>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2.单P空开:D40A</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3.功率容量:30KW</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4.输入接线方式:3相5线（380V/220V）</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5.输入电压:220/380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43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94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6.输入电流（A）:30</w:t>
            </w:r>
          </w:p>
        </w:tc>
        <w:tc>
          <w:tcPr>
            <w:tcW w:w="76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73"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36" w:type="dxa"/>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20</w:t>
            </w:r>
          </w:p>
        </w:tc>
        <w:tc>
          <w:tcPr>
            <w:tcW w:w="946" w:type="dxa"/>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六类带屏蔽网线</w:t>
            </w:r>
          </w:p>
        </w:tc>
        <w:tc>
          <w:tcPr>
            <w:tcW w:w="5608"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精练铜 ≥0.55MM铜芯导体；PVC; 8芯双绞；双层屏蔽；十字骨架</w:t>
            </w:r>
          </w:p>
        </w:tc>
        <w:tc>
          <w:tcPr>
            <w:tcW w:w="766" w:type="dxa"/>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3150</w:t>
            </w:r>
          </w:p>
        </w:tc>
        <w:tc>
          <w:tcPr>
            <w:tcW w:w="673"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436" w:type="dxa"/>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21</w:t>
            </w:r>
          </w:p>
        </w:tc>
        <w:tc>
          <w:tcPr>
            <w:tcW w:w="946" w:type="dxa"/>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音响线</w:t>
            </w:r>
          </w:p>
        </w:tc>
        <w:tc>
          <w:tcPr>
            <w:tcW w:w="5608"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增强型屏蔽音响线；0.1MM精练铜；50芯*2；金银铝铂纸；透明PVC；OD3.0*6.0MM</w:t>
            </w:r>
          </w:p>
        </w:tc>
        <w:tc>
          <w:tcPr>
            <w:tcW w:w="766" w:type="dxa"/>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310</w:t>
            </w:r>
          </w:p>
        </w:tc>
        <w:tc>
          <w:tcPr>
            <w:tcW w:w="673"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436" w:type="dxa"/>
            <w:shd w:val="clear" w:color="auto" w:fill="FFFFFF" w:themeFill="background1"/>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22</w:t>
            </w:r>
          </w:p>
        </w:tc>
        <w:tc>
          <w:tcPr>
            <w:tcW w:w="946" w:type="dxa"/>
            <w:shd w:val="clear" w:color="auto" w:fill="FFFFFF" w:themeFill="background1"/>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PDU</w:t>
            </w:r>
          </w:p>
        </w:tc>
        <w:tc>
          <w:tcPr>
            <w:tcW w:w="5608"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内置270度绝缘层；高温阻燃材料；额定功率2500W；铝合金材料；</w:t>
            </w:r>
          </w:p>
        </w:tc>
        <w:tc>
          <w:tcPr>
            <w:tcW w:w="766" w:type="dxa"/>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8</w:t>
            </w:r>
          </w:p>
        </w:tc>
        <w:tc>
          <w:tcPr>
            <w:tcW w:w="673"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60" w:hRule="atLeast"/>
        </w:trPr>
        <w:tc>
          <w:tcPr>
            <w:tcW w:w="4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23</w:t>
            </w:r>
          </w:p>
        </w:tc>
        <w:tc>
          <w:tcPr>
            <w:tcW w:w="9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插线板</w:t>
            </w:r>
          </w:p>
        </w:tc>
        <w:tc>
          <w:tcPr>
            <w:tcW w:w="5608"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支持TYPE0C接口；安全内芯高温阻燃；铜 镍合金材质；耐插拔不脱落；10孔位</w:t>
            </w:r>
          </w:p>
        </w:tc>
        <w:tc>
          <w:tcPr>
            <w:tcW w:w="766" w:type="dxa"/>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10</w:t>
            </w:r>
          </w:p>
        </w:tc>
        <w:tc>
          <w:tcPr>
            <w:tcW w:w="673"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436" w:type="dxa"/>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24</w:t>
            </w:r>
          </w:p>
        </w:tc>
        <w:tc>
          <w:tcPr>
            <w:tcW w:w="946" w:type="dxa"/>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消防设备移位</w:t>
            </w:r>
          </w:p>
        </w:tc>
        <w:tc>
          <w:tcPr>
            <w:tcW w:w="5608"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从会议室东墙把消防设备移位到会议室北墙，含材料及施工费用</w:t>
            </w:r>
          </w:p>
        </w:tc>
        <w:tc>
          <w:tcPr>
            <w:tcW w:w="766" w:type="dxa"/>
            <w:shd w:val="clear" w:color="auto" w:fill="auto"/>
            <w:vAlign w:val="center"/>
          </w:tcPr>
          <w:p>
            <w:pPr>
              <w:keepNext w:val="0"/>
              <w:keepLines w:val="0"/>
              <w:widowControl/>
              <w:suppressLineNumbers w:val="0"/>
              <w:jc w:val="both"/>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673" w:type="dxa"/>
            <w:shd w:val="clear" w:color="auto" w:fill="auto"/>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项</w:t>
            </w:r>
          </w:p>
        </w:tc>
      </w:tr>
    </w:tbl>
    <w:p>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26"/>
        <w:gridCol w:w="540"/>
        <w:gridCol w:w="6191"/>
        <w:gridCol w:w="731"/>
        <w:gridCol w:w="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4141" w:type="pct"/>
            <w:gridSpan w:val="3"/>
            <w:shd w:val="clear" w:color="auto" w:fill="auto"/>
            <w:vAlign w:val="center"/>
          </w:tcPr>
          <w:p>
            <w:pPr>
              <w:keepNext w:val="0"/>
              <w:keepLines w:val="0"/>
              <w:widowControl/>
              <w:numPr>
                <w:ilvl w:val="0"/>
                <w:numId w:val="1"/>
              </w:numPr>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会议桌椅</w:t>
            </w:r>
          </w:p>
        </w:tc>
        <w:tc>
          <w:tcPr>
            <w:tcW w:w="429" w:type="pct"/>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数量</w:t>
            </w:r>
          </w:p>
        </w:tc>
        <w:tc>
          <w:tcPr>
            <w:tcW w:w="429" w:type="pct"/>
            <w:shd w:val="clear" w:color="auto" w:fill="auto"/>
            <w:vAlign w:val="center"/>
          </w:tcPr>
          <w:p>
            <w:pPr>
              <w:keepNext w:val="0"/>
              <w:keepLines w:val="0"/>
              <w:widowControl/>
              <w:numPr>
                <w:ilvl w:val="0"/>
                <w:numId w:val="0"/>
              </w:numPr>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317"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会议桌</w:t>
            </w: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4800*2000*760mm；面材：采用0.6㎜厚天然胡桃木实木单板饰面，楸木实木封边，木材含水率8-12%。基材：采用优质E1级中密度纤维板,(游离甲醛释放量≤3.2mg/101mg)</w:t>
            </w:r>
          </w:p>
        </w:tc>
        <w:tc>
          <w:tcPr>
            <w:tcW w:w="429" w:type="pct"/>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429"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317" w:type="pct"/>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油漆：底漆及面漆需采用亚光隐孔环保油漆，俩面均衡油饰，没有剥落、露底、针孔、花斑、划痕等，具有良好的耐磨、耐温性能不含苯。</w:t>
            </w:r>
          </w:p>
        </w:tc>
        <w:tc>
          <w:tcPr>
            <w:tcW w:w="429"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429"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20" w:hRule="atLeast"/>
        </w:trPr>
        <w:tc>
          <w:tcPr>
            <w:tcW w:w="191" w:type="pct"/>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317" w:type="pct"/>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五金配件：需采用优质五金配件。</w:t>
            </w:r>
          </w:p>
        </w:tc>
        <w:tc>
          <w:tcPr>
            <w:tcW w:w="429"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429"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40" w:hRule="atLeast"/>
        </w:trPr>
        <w:tc>
          <w:tcPr>
            <w:tcW w:w="19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317"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会议椅</w:t>
            </w: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产品材质：靠背、座板为双层曲木板、冷轧钢电镀扶手，椅面、扶手面采用优质西皮及高密度PU发泡海绵，飞机底盘，气压棒，38管电镀椅子架。</w:t>
            </w:r>
          </w:p>
        </w:tc>
        <w:tc>
          <w:tcPr>
            <w:tcW w:w="429" w:type="pc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30</w:t>
            </w:r>
          </w:p>
        </w:tc>
        <w:tc>
          <w:tcPr>
            <w:tcW w:w="42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3</w:t>
            </w:r>
          </w:p>
        </w:tc>
        <w:tc>
          <w:tcPr>
            <w:tcW w:w="317"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操作台</w:t>
            </w: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5500*900*760mm；面材：采用0.6㎜厚天然一级胡桃木实木单板饰面，楸木实木封边，木材 含水率8-12% 。基材：采用优质E1级中密度纤维板,(游离甲醛释放量≤3.2mg/100mg)</w:t>
            </w:r>
          </w:p>
        </w:tc>
        <w:tc>
          <w:tcPr>
            <w:tcW w:w="429" w:type="pct"/>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w:t>
            </w:r>
          </w:p>
        </w:tc>
        <w:tc>
          <w:tcPr>
            <w:tcW w:w="429"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317" w:type="pct"/>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油漆：底漆及面漆需采用优质亚光隐孔环保油漆，俩面均衡油饰，没有剥落、露底、针孔、花斑、划痕等，需具有良好的耐磨、耐温性能不含苯。</w:t>
            </w:r>
          </w:p>
        </w:tc>
        <w:tc>
          <w:tcPr>
            <w:tcW w:w="429"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429"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317" w:type="pct"/>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363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五金配件：需采用优质五金配件。</w:t>
            </w:r>
          </w:p>
        </w:tc>
        <w:tc>
          <w:tcPr>
            <w:tcW w:w="42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429"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r>
    </w:tbl>
    <w:p>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tbl>
      <w:tblPr>
        <w:tblStyle w:val="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26"/>
        <w:gridCol w:w="473"/>
        <w:gridCol w:w="6089"/>
        <w:gridCol w:w="840"/>
        <w:gridCol w:w="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32" w:hRule="atLeast"/>
        </w:trPr>
        <w:tc>
          <w:tcPr>
            <w:tcW w:w="4042" w:type="pct"/>
            <w:gridSpan w:val="3"/>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三、视频会议室改造</w:t>
            </w:r>
          </w:p>
        </w:tc>
        <w:tc>
          <w:tcPr>
            <w:tcW w:w="493"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数量</w:t>
            </w:r>
          </w:p>
        </w:tc>
        <w:tc>
          <w:tcPr>
            <w:tcW w:w="46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191"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w:t>
            </w:r>
          </w:p>
        </w:tc>
        <w:tc>
          <w:tcPr>
            <w:tcW w:w="278"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55寸拼接屏</w:t>
            </w: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1.采用工业级面板，显示屏幕对角线尺寸为55"，显示区域：1209.6mm(H)×680.4mm(V)。观看视角到达水平/垂直178度和8 BIT的色彩饱和度，确保画面的输出精确和稳定，色彩饱和靓丽。物理分辨率1920×1080；屏幕比例为16:9，响应时间≤8ms。双边拼接接缝≤1.8mm。</w:t>
            </w:r>
          </w:p>
        </w:tc>
        <w:tc>
          <w:tcPr>
            <w:tcW w:w="493" w:type="pct"/>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18</w:t>
            </w:r>
          </w:p>
        </w:tc>
        <w:tc>
          <w:tcPr>
            <w:tcW w:w="464"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2.整屏画面稳定无闪烁，整屏色彩和亮度均匀性≥90%，数字显示单元亮度≥500cd/㎡，对比度≥4000:1，确保多屏拼接系统的画面更为清晰鲜明，以使各个拼接液晶单元显示的所有颜色保证整墙色彩的一致性。</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3.55" 超窄边，支持7X24小时开机使用，保证系统长时间运行，不间断工作。整个大屏幕系统需具有先进性、稳定性和可扩充性，系统操作简单，维护方便，故障率低，使用寿命长；能够满足采购人24小时、每周7天的连续运行的需要。</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4.操作方式为标准RS232端口。</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5.具有自动侦测和识别各种复合视频的能力，能处理各种标准RGB或常用的非标准VGA信号。</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6.大屏幕显示系统的显示画面不会产生拼接屏之间图形和文字错位现象。</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拼接屏支持一组多种类型的图像信号输入，能同时在一屏幕上显示一组信号或者在拼接屏幕上实现大屏幕显示，可以实现单屏，整屏或屏体组合画面等功能。整屏显示时，整个屏幕显示一个完整的图像；单屏显示时，一个单元显示一路图像，每个单元的输入信号可以任意设制；任意组合显示时，任何几个单元显示一路信号。</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8.需上电即可工作,启动时间小于10秒钟,稳定性高满足采购人7×24小时的工作需求,可直接硬开机和关机。</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显示模式可以进行信号切换,实现整屏、单屏、屏体组合显示，同时提供各种预设的操作模式。</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9.液晶拼接显示单元具有中国3C认证证书。（提供证明文件）</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10.液晶拼接显示单元具有中国节能产品认证证书。</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11.液晶拼接显示单元具有中国环境标志产品认证证书。</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12.液晶拼接显示单元支持超高分辨率高清拼接器。（提供证明文件）</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13.液晶拼接显示单元支持四倍高清LCD显示器信号同步。（提供证明文件）</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w:t>
            </w:r>
          </w:p>
        </w:tc>
        <w:tc>
          <w:tcPr>
            <w:tcW w:w="278"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系统控制软件</w:t>
            </w: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1.控制软件为中文操作界面，可视化管理界面，便于液晶拼接屏的管理与使用。</w:t>
            </w:r>
          </w:p>
        </w:tc>
        <w:tc>
          <w:tcPr>
            <w:tcW w:w="493" w:type="pct"/>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464"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2.实现信息共享自由无限拼接功能，操作简单适用，带矩阵联动功能，可定制显示界面，实现对所有视频图像集中管理。</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3.显示预案功能：无论是视频信号、还是计算机信号，都可以预先设置、存储、调用显示预案，所有工作都在同一个图形控制界面下完成。预案可以根据需要无限设置</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4.支持多个远程客户端与大屏同步或任意调用系统功能，方便用户在任意地方实时查看系统显示的状况。</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w:t>
            </w:r>
          </w:p>
        </w:tc>
        <w:tc>
          <w:tcPr>
            <w:tcW w:w="278"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云图图像处理器</w:t>
            </w: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1.采用模块化板卡式设计，输入输出全面支持热插拔，有效减少设备的故障率，极大的提高设备稳定性。同时在发生故障时，维修也变得简单，只需要将发生故障的模块替换下即可。</w:t>
            </w:r>
          </w:p>
        </w:tc>
        <w:tc>
          <w:tcPr>
            <w:tcW w:w="493" w:type="pct"/>
            <w:vMerge w:val="restar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464" w:type="pct"/>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采用大规模FPGA陈列式组合处理构架，全硬件设计，无CPU和操作系统。控制器集超宽带视频信号采集，实时高分辨率数字图像处理二维高阶数字滤波等高端图像处理技术于一身，具有强大的处理能力。控制器采用多总线并行处理机制，能从根本上保证对所有输入视频全实时处理，图像没有延迟，无丢帧现象。</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3.拼接器需具有自动节能设计，未使用的端口自检测关闭。</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4.采用标准机箱，内置风扇散热系统。</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5.通过以太网和RS-232控制。</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6.在单屏幕中可开4个窗口，所有窗口可任意漫游、叠加、缩放，最大支持4层叠加。</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7.通道字符叠加；可为输入信号通道自定义名称，在拼接屏上显示输入图像的同时显示图像命名，便于辨识、管控。</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8.所见即所得：大屏显示的状态及内容在客户端上实时同步显示，便于监控显示内容。</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1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9.编显并行：操作人员可在预览模式下对大屏的显示布局进行调整，完成后退出预览模式，再通过单击发布预览一次性完整发布调整后的显示布局预案，编辑预案在后台，不影响当前显示方案。</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10.窗口锁定：支持窗口锁定功能，锁定后的窗口不可随意变动，防止误操作。</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11.局部预案调整：可任意指定某个或某组显示窗口显示指定信号源，不受整体预案调整影响，保证重要信息的全时显示。</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12.图像实时上屏：输入信号源经处理器可实时上屏，系统处理时间：&lt;0.1S。</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13.输入信号源实时显示：所有接入系统的相关信号源，可在控制软件的操作界面上面实时查看，所有信号源均为图像实时显示。</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14.预案处理可视化：显示预案的编辑采用图形化界面，支持显示窗口的缩放、拖动等操作，已保存的显示预案以图片的方式显示，方便查找和调用。</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15.信号源搜索；在管理多个输入信号源的状态下，可以根据名称快速搜索指定图像。</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16.底图显示：支持底图显示，支持全屏拼接显示或每屏复制显示模式，全屏拼接显示支持的最大分辨率64x（1920像素X1080像素）。</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17.支持热拔插，处理器的输入输出板卡可带电热拔插，实现不断电不影响系统正常工作的情况化作维护。</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191" w:type="pct"/>
            <w:vMerge w:val="continue"/>
            <w:shd w:val="clear" w:color="auto" w:fill="auto"/>
            <w:vAlign w:val="center"/>
          </w:tcPr>
          <w:p>
            <w:pPr>
              <w:jc w:val="center"/>
              <w:rPr>
                <w:rFonts w:hint="eastAsia" w:ascii="宋体" w:hAnsi="宋体" w:eastAsia="宋体" w:cs="宋体"/>
                <w:i w:val="0"/>
                <w:iCs w:val="0"/>
                <w:color w:val="auto"/>
                <w:sz w:val="22"/>
                <w:szCs w:val="22"/>
                <w:highlight w:val="none"/>
                <w:u w:val="none"/>
              </w:rPr>
            </w:pPr>
          </w:p>
        </w:tc>
        <w:tc>
          <w:tcPr>
            <w:tcW w:w="278" w:type="pct"/>
            <w:vMerge w:val="continue"/>
            <w:shd w:val="clear" w:color="auto" w:fill="auto"/>
            <w:vAlign w:val="center"/>
          </w:tcPr>
          <w:p>
            <w:pPr>
              <w:jc w:val="left"/>
              <w:rPr>
                <w:rFonts w:hint="eastAsia" w:ascii="宋体" w:hAnsi="宋体" w:eastAsia="宋体" w:cs="宋体"/>
                <w:i w:val="0"/>
                <w:iCs w:val="0"/>
                <w:color w:val="auto"/>
                <w:sz w:val="22"/>
                <w:szCs w:val="22"/>
                <w:highlight w:val="none"/>
                <w:u w:val="none"/>
              </w:rPr>
            </w:pP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18.电源冗余，处理器的电源可作冗余，实现即使其中一个电源出现故障，系统也能正常运行，应付关键任务。</w:t>
            </w:r>
          </w:p>
        </w:tc>
        <w:tc>
          <w:tcPr>
            <w:tcW w:w="493"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c>
          <w:tcPr>
            <w:tcW w:w="464" w:type="pct"/>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19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4</w:t>
            </w:r>
          </w:p>
        </w:tc>
        <w:tc>
          <w:tcPr>
            <w:tcW w:w="2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屏体支架</w:t>
            </w: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定制4.54米*3.32米钢制支架，包含柜门，背架，横竖支架等</w:t>
            </w:r>
          </w:p>
        </w:tc>
        <w:tc>
          <w:tcPr>
            <w:tcW w:w="493" w:type="pc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46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00" w:hRule="atLeast"/>
        </w:trPr>
        <w:tc>
          <w:tcPr>
            <w:tcW w:w="19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5</w:t>
            </w:r>
          </w:p>
        </w:tc>
        <w:tc>
          <w:tcPr>
            <w:tcW w:w="2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高清线</w:t>
            </w: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25米；4K/30HZ; 10.2GBPS; 线径9MM; 26AWG+信号放大器</w:t>
            </w:r>
          </w:p>
        </w:tc>
        <w:tc>
          <w:tcPr>
            <w:tcW w:w="493" w:type="pc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20</w:t>
            </w:r>
          </w:p>
        </w:tc>
        <w:tc>
          <w:tcPr>
            <w:tcW w:w="46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430" w:hRule="atLeast"/>
        </w:trPr>
        <w:tc>
          <w:tcPr>
            <w:tcW w:w="191" w:type="pc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6</w:t>
            </w:r>
          </w:p>
        </w:tc>
        <w:tc>
          <w:tcPr>
            <w:tcW w:w="278"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技术服务</w:t>
            </w:r>
          </w:p>
        </w:tc>
        <w:tc>
          <w:tcPr>
            <w:tcW w:w="3572"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1.提供一次性技术服务，使视频流数据正常回传至视频平台，具体包含视频系统的规划设计、技术调测服务。根据客户的需求，对显示单元的安装位置、数量、布局等进行规划和设计，并通过技术手段，将各个分离的设备、软件和信息数据等要素集成到相互关联的、统一和协调的系统之中，包括显示单元安装和配置：在安装之前，负责检查设备是否完好无损，并确保所有配件都齐全。按照设备安装说明进行安装、根据需要对设备进行配置，例如设置密码、更新软件等；工程实施：根据服务需求，制定设计方案，确保工程按照指定时间完成交付；网络调测：对控制设备进行测试和调试，以确保其正常运行，控制设备及软件安装调试培训。</w:t>
            </w:r>
            <w:r>
              <w:rPr>
                <w:rFonts w:hint="eastAsia" w:ascii="宋体" w:hAnsi="宋体" w:eastAsia="宋体" w:cs="宋体"/>
                <w:i w:val="0"/>
                <w:iCs w:val="0"/>
                <w:color w:val="auto"/>
                <w:kern w:val="0"/>
                <w:sz w:val="22"/>
                <w:szCs w:val="22"/>
                <w:highlight w:val="none"/>
                <w:u w:val="none"/>
                <w:lang w:val="en-US" w:eastAsia="zh-CN" w:bidi="ar"/>
              </w:rPr>
              <w:br w:type="textWrapping"/>
            </w:r>
            <w:r>
              <w:rPr>
                <w:rFonts w:hint="eastAsia" w:ascii="宋体" w:hAnsi="宋体" w:eastAsia="宋体" w:cs="宋体"/>
                <w:i w:val="0"/>
                <w:iCs w:val="0"/>
                <w:color w:val="auto"/>
                <w:kern w:val="0"/>
                <w:sz w:val="22"/>
                <w:szCs w:val="22"/>
                <w:highlight w:val="none"/>
                <w:u w:val="none"/>
                <w:lang w:val="en-US" w:eastAsia="zh-CN" w:bidi="ar"/>
              </w:rPr>
              <w:t>2.设备及软件平台的安装调试培训辅材等技术服务。</w:t>
            </w:r>
          </w:p>
        </w:tc>
        <w:tc>
          <w:tcPr>
            <w:tcW w:w="493" w:type="pct"/>
            <w:shd w:val="clear" w:color="auto" w:fill="auto"/>
            <w:vAlign w:val="center"/>
          </w:tcPr>
          <w:p>
            <w:pPr>
              <w:keepNext w:val="0"/>
              <w:keepLines w:val="0"/>
              <w:widowControl/>
              <w:suppressLineNumbers w:val="0"/>
              <w:jc w:val="left"/>
              <w:textAlignment w:val="center"/>
              <w:rPr>
                <w:rFonts w:hint="default"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2</w:t>
            </w:r>
          </w:p>
        </w:tc>
        <w:tc>
          <w:tcPr>
            <w:tcW w:w="464" w:type="pc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22"/>
                <w:szCs w:val="22"/>
                <w:highlight w:val="none"/>
                <w:u w:val="none"/>
                <w:lang w:val="en-US" w:eastAsia="zh-CN" w:bidi="ar"/>
              </w:rPr>
            </w:pPr>
            <w:r>
              <w:rPr>
                <w:rFonts w:hint="eastAsia" w:ascii="宋体" w:hAnsi="宋体" w:eastAsia="宋体" w:cs="宋体"/>
                <w:i w:val="0"/>
                <w:iCs w:val="0"/>
                <w:color w:val="auto"/>
                <w:kern w:val="0"/>
                <w:sz w:val="22"/>
                <w:szCs w:val="22"/>
                <w:highlight w:val="none"/>
                <w:u w:val="none"/>
                <w:lang w:val="en-US" w:eastAsia="zh-CN" w:bidi="ar"/>
              </w:rPr>
              <w:t>套</w:t>
            </w:r>
          </w:p>
        </w:tc>
      </w:tr>
    </w:tbl>
    <w:p>
      <w:pPr>
        <w:rPr>
          <w:rFonts w:hint="eastAsia" w:ascii="宋体" w:hAnsi="宋体" w:eastAsia="宋体" w:cs="宋体"/>
          <w:b/>
          <w:bCs/>
          <w:sz w:val="28"/>
          <w:szCs w:val="28"/>
          <w:highlight w:val="none"/>
          <w:lang w:val="en-US" w:eastAsia="zh-CN"/>
        </w:rPr>
      </w:pPr>
      <w:r>
        <w:rPr>
          <w:rFonts w:hint="eastAsia" w:ascii="宋体" w:hAnsi="宋体" w:eastAsia="宋体" w:cs="宋体"/>
          <w:b/>
          <w:bCs/>
          <w:sz w:val="28"/>
          <w:szCs w:val="28"/>
          <w:highlight w:val="none"/>
          <w:lang w:val="en-US" w:eastAsia="zh-CN"/>
        </w:rPr>
        <w:br w:type="page"/>
      </w:r>
    </w:p>
    <w:tbl>
      <w:tblPr>
        <w:tblStyle w:val="2"/>
        <w:tblW w:w="0" w:type="auto"/>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autofit"/>
        <w:tblCellMar>
          <w:top w:w="0" w:type="dxa"/>
          <w:left w:w="108" w:type="dxa"/>
          <w:bottom w:w="0" w:type="dxa"/>
          <w:right w:w="108" w:type="dxa"/>
        </w:tblCellMar>
      </w:tblPr>
      <w:tblGrid>
        <w:gridCol w:w="326"/>
        <w:gridCol w:w="656"/>
        <w:gridCol w:w="5955"/>
        <w:gridCol w:w="746"/>
        <w:gridCol w:w="7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6937" w:type="dxa"/>
            <w:gridSpan w:val="3"/>
            <w:shd w:val="clear" w:color="auto" w:fill="auto"/>
            <w:vAlign w:val="center"/>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四、分布式会议系统</w:t>
            </w:r>
          </w:p>
        </w:tc>
        <w:tc>
          <w:tcPr>
            <w:tcW w:w="746" w:type="dxa"/>
            <w:shd w:val="clear" w:color="auto" w:fill="auto"/>
            <w:vAlign w:val="center"/>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数量</w:t>
            </w:r>
          </w:p>
        </w:tc>
        <w:tc>
          <w:tcPr>
            <w:tcW w:w="746" w:type="dxa"/>
            <w:shd w:val="clear" w:color="auto" w:fill="auto"/>
            <w:vAlign w:val="center"/>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1</w:t>
            </w:r>
          </w:p>
        </w:tc>
        <w:tc>
          <w:tcPr>
            <w:tcW w:w="65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分布式KVM HDMI输出节点</w:t>
            </w: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sz w:val="22"/>
                <w:szCs w:val="22"/>
                <w:highlight w:val="none"/>
                <w:u w:val="none"/>
              </w:rPr>
            </w:pPr>
            <w:r>
              <w:rPr>
                <w:rFonts w:hint="eastAsia"/>
                <w:highlight w:val="none"/>
                <w:lang w:val="en-US" w:eastAsia="zh-CN"/>
              </w:rPr>
              <w:t>1.</w:t>
            </w:r>
            <w:r>
              <w:rPr>
                <w:rFonts w:hint="eastAsia"/>
                <w:highlight w:val="none"/>
              </w:rPr>
              <w:t>输出节点：≥1路HDMI视频输出接口、1路音频输入、1路音频输出、2路RJ45网络接口、2个千兆光口、4个USB3.0接口、1个RS232接口、2个RS485接口、1个RST复位按键</w:t>
            </w:r>
          </w:p>
        </w:tc>
        <w:tc>
          <w:tcPr>
            <w:tcW w:w="746" w:type="dxa"/>
            <w:vMerge w:val="restart"/>
            <w:shd w:val="clear" w:color="auto" w:fill="auto"/>
            <w:vAlign w:val="top"/>
          </w:tcPr>
          <w:p>
            <w:pPr>
              <w:keepNext w:val="0"/>
              <w:keepLines w:val="0"/>
              <w:widowControl/>
              <w:numPr>
                <w:ilvl w:val="0"/>
                <w:numId w:val="0"/>
              </w:numPr>
              <w:suppressLineNumbers w:val="0"/>
              <w:ind w:leftChars="0"/>
              <w:jc w:val="left"/>
              <w:textAlignment w:val="top"/>
              <w:rPr>
                <w:rFonts w:hint="default"/>
                <w:highlight w:val="none"/>
                <w:lang w:val="en-US" w:eastAsia="zh-CN"/>
              </w:rPr>
            </w:pPr>
            <w:r>
              <w:rPr>
                <w:rFonts w:hint="eastAsia"/>
                <w:highlight w:val="none"/>
                <w:lang w:val="en-US" w:eastAsia="zh-CN"/>
              </w:rPr>
              <w:t>27</w:t>
            </w:r>
          </w:p>
        </w:tc>
        <w:tc>
          <w:tcPr>
            <w:tcW w:w="746" w:type="dxa"/>
            <w:vMerge w:val="restart"/>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r>
              <w:rPr>
                <w:rFonts w:hint="eastAsia"/>
                <w:highlight w:val="none"/>
                <w:lang w:val="en-US" w:eastAsia="zh-CN"/>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2.</w:t>
            </w:r>
            <w:r>
              <w:rPr>
                <w:rFonts w:hint="eastAsia"/>
                <w:highlight w:val="none"/>
              </w:rPr>
              <w:t>具有运行指示灯、设备状态灯、工作状态指示灯；运行指示灯：设备启动时闪烁；正常运行时常亮；关机时灭；设备状态灯：告警时，红色常亮；无告警时灭；工作状态指示灯：检测到对应端口有设备连接则常亮，否则灭。</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3.</w:t>
            </w:r>
            <w:r>
              <w:rPr>
                <w:rFonts w:hint="eastAsia"/>
                <w:highlight w:val="none"/>
              </w:rPr>
              <w:t>分布式节点具有两个光口以及两个电口，支持光电热备份。（提供检测报告复印件为证）</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4.</w:t>
            </w:r>
            <w:r>
              <w:rPr>
                <w:rFonts w:hint="eastAsia"/>
                <w:highlight w:val="none"/>
              </w:rPr>
              <w:t>1U半宽结构设计，支持平面摆放和标准机柜/机架安装；支持磁吸，可以将分布式节点直接吸附在其他设备上；支持滑轨安装，可插入到集中供电箱或者托盘上，后安装于标准机柜/机架。（提供检测报告复印件为证）</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5.</w:t>
            </w:r>
            <w:r>
              <w:rPr>
                <w:rFonts w:hint="eastAsia"/>
                <w:highlight w:val="none"/>
              </w:rPr>
              <w:t xml:space="preserve"> 支持输入节点与输入节点、输出节点与输出节点之间网线直连，实现设备间通信，可减少交换机、网线数量。（提供检测报告复印件为证）</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6.</w:t>
            </w:r>
            <w:r>
              <w:rPr>
                <w:rFonts w:hint="eastAsia"/>
                <w:highlight w:val="none"/>
              </w:rPr>
              <w:t>解码能力≥8*1080P@30Hz</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7.</w:t>
            </w:r>
            <w:r>
              <w:rPr>
                <w:rFonts w:hint="eastAsia"/>
                <w:highlight w:val="none"/>
              </w:rPr>
              <w:t>视频输出分辨率≥1920*1200@60 Hz，1920*1080@60 Hz，1600*1200@60 Hz，1440*900@60 Hz，1280*1024@60 Hz，1280*720@60 Hz，1024*768@60 Hz</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656" w:type="dxa"/>
            <w:vMerge w:val="continue"/>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2"/>
                <w:szCs w:val="22"/>
                <w:highlight w:val="none"/>
                <w:u w:val="none"/>
                <w:lang w:val="en-US" w:eastAsia="zh-CN" w:bidi="ar"/>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highlight w:val="none"/>
                <w:lang w:val="en-US" w:eastAsia="zh-CN"/>
              </w:rPr>
              <w:t>8.</w:t>
            </w:r>
            <w:r>
              <w:rPr>
                <w:rFonts w:hint="eastAsia" w:ascii="宋体" w:hAnsi="宋体" w:eastAsia="宋体" w:cs="宋体"/>
                <w:i w:val="0"/>
                <w:iCs w:val="0"/>
                <w:color w:val="000000"/>
                <w:kern w:val="0"/>
                <w:sz w:val="22"/>
                <w:szCs w:val="22"/>
                <w:highlight w:val="none"/>
                <w:u w:val="none"/>
                <w:lang w:val="en-US" w:eastAsia="zh-CN" w:bidi="ar"/>
              </w:rPr>
              <w:t>▲</w:t>
            </w:r>
            <w:r>
              <w:rPr>
                <w:rFonts w:hint="eastAsia"/>
                <w:highlight w:val="none"/>
              </w:rPr>
              <w:t>输出节点可通过软件配置实现拼接节点和坐席节点的属性切换，增强系统容错性。（提供检测报告复印件为证）</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sz w:val="22"/>
                <w:szCs w:val="22"/>
                <w:highlight w:val="none"/>
                <w:u w:val="none"/>
              </w:rPr>
            </w:pPr>
            <w:r>
              <w:rPr>
                <w:rFonts w:hint="eastAsia"/>
                <w:highlight w:val="none"/>
                <w:lang w:val="en-US" w:eastAsia="zh-CN"/>
              </w:rPr>
              <w:t>9.</w:t>
            </w:r>
            <w:r>
              <w:rPr>
                <w:rFonts w:hint="eastAsia" w:ascii="宋体" w:hAnsi="宋体" w:eastAsia="宋体" w:cs="宋体"/>
                <w:i w:val="0"/>
                <w:iCs w:val="0"/>
                <w:color w:val="000000"/>
                <w:kern w:val="0"/>
                <w:sz w:val="22"/>
                <w:szCs w:val="22"/>
                <w:highlight w:val="none"/>
                <w:u w:val="none"/>
                <w:lang w:val="en-US" w:eastAsia="zh-CN" w:bidi="ar"/>
              </w:rPr>
              <w:t>▲</w:t>
            </w:r>
            <w:r>
              <w:rPr>
                <w:rFonts w:hint="eastAsia"/>
                <w:highlight w:val="none"/>
              </w:rPr>
              <w:t>支持设备自动生成拓扑图展示，所有设备状态实时展示，拓扑图根据组网自动更新，故障节点自动报警提示；点击设备图标时显示设备名称、IP、在线状态等（提供检测报告复印件为证）</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sz w:val="22"/>
                <w:szCs w:val="22"/>
                <w:highlight w:val="none"/>
                <w:u w:val="none"/>
              </w:rPr>
            </w:pPr>
            <w:r>
              <w:rPr>
                <w:rFonts w:hint="eastAsia"/>
                <w:highlight w:val="none"/>
                <w:lang w:val="en-US" w:eastAsia="zh-CN"/>
              </w:rPr>
              <w:t>10.</w:t>
            </w:r>
            <w:r>
              <w:rPr>
                <w:rFonts w:hint="eastAsia" w:ascii="宋体" w:hAnsi="宋体" w:eastAsia="宋体" w:cs="宋体"/>
                <w:i w:val="0"/>
                <w:iCs w:val="0"/>
                <w:color w:val="000000"/>
                <w:kern w:val="0"/>
                <w:sz w:val="22"/>
                <w:szCs w:val="22"/>
                <w:highlight w:val="none"/>
                <w:u w:val="none"/>
                <w:lang w:val="en-US" w:eastAsia="zh-CN" w:bidi="ar"/>
              </w:rPr>
              <w:t>▲</w:t>
            </w:r>
            <w:r>
              <w:rPr>
                <w:rFonts w:hint="eastAsia"/>
                <w:highlight w:val="none"/>
              </w:rPr>
              <w:t>可选择使用集中式拼接节点替代分布式节点，信号可通过集中式拼接节点集中上墙，也可以通过坐席节点将信号直接推送给集中式拼接节点上大屏。（提供检测报告复印件为证）</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sz w:val="22"/>
                <w:szCs w:val="22"/>
                <w:highlight w:val="none"/>
                <w:u w:val="none"/>
              </w:rPr>
            </w:pPr>
            <w:r>
              <w:rPr>
                <w:rFonts w:hint="eastAsia"/>
                <w:highlight w:val="none"/>
                <w:lang w:val="en-US" w:eastAsia="zh-CN"/>
              </w:rPr>
              <w:t>11.</w:t>
            </w:r>
            <w:r>
              <w:rPr>
                <w:rFonts w:hint="eastAsia"/>
                <w:highlight w:val="none"/>
              </w:rPr>
              <w:t>支持信号预布局推送，在不改变大屏现有显示状态下，对大屏进行开窗、移动、缩放、漫游、叠加等布局操作， 编辑完成确定后，预布局的画面同步更新到大屏。</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numPr>
                <w:ilvl w:val="0"/>
                <w:numId w:val="0"/>
              </w:numPr>
              <w:suppressLineNumbers w:val="0"/>
              <w:ind w:leftChars="0"/>
              <w:jc w:val="left"/>
              <w:textAlignment w:val="top"/>
              <w:rPr>
                <w:rFonts w:hint="eastAsia" w:ascii="宋体" w:hAnsi="宋体" w:eastAsia="宋体" w:cs="宋体"/>
                <w:i w:val="0"/>
                <w:iCs w:val="0"/>
                <w:color w:val="000000"/>
                <w:sz w:val="22"/>
                <w:szCs w:val="22"/>
                <w:highlight w:val="none"/>
                <w:u w:val="none"/>
              </w:rPr>
            </w:pPr>
            <w:r>
              <w:rPr>
                <w:rFonts w:hint="eastAsia"/>
                <w:highlight w:val="none"/>
                <w:lang w:val="en-US" w:eastAsia="zh-CN"/>
              </w:rPr>
              <w:t>12.</w:t>
            </w:r>
            <w:r>
              <w:rPr>
                <w:rFonts w:hint="eastAsia"/>
                <w:highlight w:val="none"/>
              </w:rPr>
              <w:t>支持对节点进行分屏操作，可进行1/4/6/8/9/16分屏，鼠标移到任意分屏，可对相应的主机进行控制，且分屏会显示边框作为提示，边框是否开启、颜色、宽度以及显示时间都可进行设置；支持对分屏缩放和切换，支持使用快捷键进行分屏放大恢复。</w:t>
            </w: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c>
          <w:tcPr>
            <w:tcW w:w="746" w:type="dxa"/>
            <w:vMerge w:val="continue"/>
            <w:shd w:val="clear" w:color="auto" w:fill="auto"/>
            <w:vAlign w:val="top"/>
          </w:tcPr>
          <w:p>
            <w:pPr>
              <w:keepNext w:val="0"/>
              <w:keepLines w:val="0"/>
              <w:widowControl/>
              <w:numPr>
                <w:ilvl w:val="0"/>
                <w:numId w:val="0"/>
              </w:numPr>
              <w:suppressLineNumbers w:val="0"/>
              <w:ind w:leftChars="0"/>
              <w:jc w:val="left"/>
              <w:textAlignment w:val="top"/>
              <w:rPr>
                <w:rFonts w:hint="eastAsia"/>
                <w:highlight w:val="no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restart"/>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2</w:t>
            </w:r>
          </w:p>
        </w:tc>
        <w:tc>
          <w:tcPr>
            <w:tcW w:w="656" w:type="dxa"/>
            <w:vMerge w:val="restart"/>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分布式KVM HDMI输入节点</w:t>
            </w:r>
          </w:p>
        </w:tc>
        <w:tc>
          <w:tcPr>
            <w:tcW w:w="5955" w:type="dxa"/>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视频输入:1路HDMI视频输入接口；音频输入:1路音频输入（3.5mm）；音频输出:1路音频输出（3.5mm）（预留）；</w:t>
            </w:r>
          </w:p>
        </w:tc>
        <w:tc>
          <w:tcPr>
            <w:tcW w:w="746" w:type="dxa"/>
            <w:vMerge w:val="restart"/>
            <w:shd w:val="clear" w:color="auto" w:fill="auto"/>
            <w:vAlign w:val="top"/>
          </w:tcPr>
          <w:p>
            <w:pPr>
              <w:keepNext w:val="0"/>
              <w:keepLines w:val="0"/>
              <w:widowControl/>
              <w:suppressLineNumbers w:val="0"/>
              <w:jc w:val="left"/>
              <w:textAlignment w:val="top"/>
              <w:rPr>
                <w:rFonts w:hint="default"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12</w:t>
            </w:r>
          </w:p>
        </w:tc>
        <w:tc>
          <w:tcPr>
            <w:tcW w:w="746" w:type="dxa"/>
            <w:vMerge w:val="restart"/>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r>
              <w:rPr>
                <w:rFonts w:hint="eastAsia" w:ascii="宋体" w:hAnsi="宋体" w:eastAsia="宋体" w:cs="宋体"/>
                <w:i w:val="0"/>
                <w:iCs w:val="0"/>
                <w:color w:val="000000"/>
                <w:kern w:val="0"/>
                <w:sz w:val="22"/>
                <w:szCs w:val="22"/>
                <w:highlight w:val="none"/>
                <w:u w:val="none"/>
                <w:lang w:val="en-US" w:eastAsia="zh-CN" w:bidi="ar"/>
              </w:rPr>
              <w:t>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0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视频输入分辨率:1920*1200@60 Hz，1920*1080@50 Hz，1920*1080@60 Hz，1600*1200@60 Hz，1440*900@60 Hz，1280*1024@60 Hz，1280*720@60 Hz，1280*720@50 Hz，1024x768@60 Hz</w:t>
            </w:r>
          </w:p>
        </w:tc>
        <w:tc>
          <w:tcPr>
            <w:tcW w:w="746" w:type="dxa"/>
            <w:vMerge w:val="continue"/>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p>
        </w:tc>
        <w:tc>
          <w:tcPr>
            <w:tcW w:w="746" w:type="dxa"/>
            <w:vMerge w:val="continue"/>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编码方式:H.265或H.264；网络接口:2路RJ45接口（速率10M/100M/1000Mbps）（网口1支持POE供电）</w:t>
            </w:r>
          </w:p>
        </w:tc>
        <w:tc>
          <w:tcPr>
            <w:tcW w:w="746" w:type="dxa"/>
            <w:vMerge w:val="continue"/>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p>
        </w:tc>
        <w:tc>
          <w:tcPr>
            <w:tcW w:w="746" w:type="dxa"/>
            <w:vMerge w:val="continue"/>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326" w:type="dxa"/>
            <w:vMerge w:val="continue"/>
            <w:shd w:val="clear" w:color="auto" w:fill="auto"/>
            <w:vAlign w:val="center"/>
          </w:tcPr>
          <w:p>
            <w:pPr>
              <w:jc w:val="center"/>
              <w:rPr>
                <w:rFonts w:hint="eastAsia" w:ascii="宋体" w:hAnsi="宋体" w:eastAsia="宋体" w:cs="宋体"/>
                <w:i w:val="0"/>
                <w:iCs w:val="0"/>
                <w:color w:val="000000"/>
                <w:sz w:val="22"/>
                <w:szCs w:val="22"/>
                <w:highlight w:val="none"/>
                <w:u w:val="none"/>
              </w:rPr>
            </w:pPr>
          </w:p>
        </w:tc>
        <w:tc>
          <w:tcPr>
            <w:tcW w:w="656" w:type="dxa"/>
            <w:vMerge w:val="continue"/>
            <w:shd w:val="clear" w:color="auto" w:fill="auto"/>
            <w:vAlign w:val="center"/>
          </w:tcPr>
          <w:p>
            <w:pPr>
              <w:jc w:val="left"/>
              <w:rPr>
                <w:rFonts w:hint="eastAsia" w:ascii="宋体" w:hAnsi="宋体" w:eastAsia="宋体" w:cs="宋体"/>
                <w:i w:val="0"/>
                <w:iCs w:val="0"/>
                <w:color w:val="000000"/>
                <w:sz w:val="22"/>
                <w:szCs w:val="22"/>
                <w:highlight w:val="none"/>
                <w:u w:val="none"/>
              </w:rPr>
            </w:pPr>
          </w:p>
        </w:tc>
        <w:tc>
          <w:tcPr>
            <w:tcW w:w="5955" w:type="dxa"/>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sz w:val="22"/>
                <w:szCs w:val="22"/>
                <w:highlight w:val="none"/>
                <w:u w:val="none"/>
              </w:rPr>
            </w:pPr>
            <w:r>
              <w:rPr>
                <w:rFonts w:hint="eastAsia" w:ascii="宋体" w:hAnsi="宋体" w:eastAsia="宋体" w:cs="宋体"/>
                <w:i w:val="0"/>
                <w:iCs w:val="0"/>
                <w:color w:val="000000"/>
                <w:kern w:val="0"/>
                <w:sz w:val="22"/>
                <w:szCs w:val="22"/>
                <w:highlight w:val="none"/>
                <w:u w:val="none"/>
                <w:lang w:val="en-US" w:eastAsia="zh-CN" w:bidi="ar"/>
              </w:rPr>
              <w:t>USB接口:4个USB2.0接口；整机功耗（W）:＜15；工作电压:DC 12V</w:t>
            </w:r>
          </w:p>
        </w:tc>
        <w:tc>
          <w:tcPr>
            <w:tcW w:w="746" w:type="dxa"/>
            <w:vMerge w:val="continue"/>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p>
        </w:tc>
        <w:tc>
          <w:tcPr>
            <w:tcW w:w="746" w:type="dxa"/>
            <w:vMerge w:val="continue"/>
            <w:shd w:val="clear" w:color="auto" w:fill="auto"/>
            <w:vAlign w:val="top"/>
          </w:tcPr>
          <w:p>
            <w:pPr>
              <w:keepNext w:val="0"/>
              <w:keepLines w:val="0"/>
              <w:widowControl/>
              <w:suppressLineNumbers w:val="0"/>
              <w:jc w:val="left"/>
              <w:textAlignment w:val="top"/>
              <w:rPr>
                <w:rFonts w:hint="eastAsia" w:ascii="宋体" w:hAnsi="宋体" w:eastAsia="宋体" w:cs="宋体"/>
                <w:i w:val="0"/>
                <w:iCs w:val="0"/>
                <w:color w:val="000000"/>
                <w:kern w:val="0"/>
                <w:sz w:val="22"/>
                <w:szCs w:val="22"/>
                <w:highlight w:val="none"/>
                <w:u w:val="none"/>
                <w:lang w:val="en-US" w:eastAsia="zh-CN" w:bidi="ar"/>
              </w:rPr>
            </w:pP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F0CAD2F"/>
    <w:multiLevelType w:val="singleLevel"/>
    <w:tmpl w:val="2F0CAD2F"/>
    <w:lvl w:ilvl="0" w:tentative="0">
      <w:start w:val="2"/>
      <w:numFmt w:val="chineseCounting"/>
      <w:suff w:val="space"/>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Y1OGQ1YmI4YjhjYjNhYTU4ZDlmNTFmN2NjY2NkOGIifQ=="/>
  </w:docVars>
  <w:rsids>
    <w:rsidRoot w:val="00000000"/>
    <w:rsid w:val="3BCA1E7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01"/>
    <w:basedOn w:val="3"/>
    <w:qFormat/>
    <w:uiPriority w:val="0"/>
    <w:rPr>
      <w:rFonts w:hint="eastAsia" w:ascii="宋体" w:hAnsi="宋体" w:eastAsia="宋体" w:cs="宋体"/>
      <w:color w:val="000000"/>
      <w:sz w:val="22"/>
      <w:szCs w:val="22"/>
      <w:u w:val="none"/>
    </w:rPr>
  </w:style>
  <w:style w:type="character" w:customStyle="1" w:styleId="5">
    <w:name w:val="font31"/>
    <w:basedOn w:val="3"/>
    <w:qFormat/>
    <w:uiPriority w:val="0"/>
    <w:rPr>
      <w:rFonts w:ascii="Calibri" w:hAnsi="Calibri" w:cs="Calibri"/>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2025-07-15T07:00:16Z</dcterms:created>
  <dc:creator>28766</dc:creator>
  <cp:lastModifiedBy>28766</cp:lastModifiedBy>
  <dcterms:modified xsi:type="dcterms:W3CDTF">2025-07-15T07:00:43Z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3A24BB1A8CD045EBA560FC2C38807236</vt:lpwstr>
  </property>
</Properties>
</file>