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紧密型县域医共体信息化系统建设项目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兴和县中医蒙医医院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兴和县公共资源交易中心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WSZCXH-G-F-250003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兴和县公共资源交易中心</w:t>
      </w:r>
      <w:r>
        <w:rPr>
          <w:rFonts w:ascii="仿宋_GB2312" w:hAnsi="仿宋_GB2312" w:cs="仿宋_GB2312" w:eastAsia="仿宋_GB2312"/>
        </w:rPr>
        <w:t xml:space="preserve"> 受 </w:t>
      </w:r>
      <w:r>
        <w:rPr>
          <w:rFonts w:ascii="仿宋_GB2312" w:hAnsi="仿宋_GB2312" w:cs="仿宋_GB2312" w:eastAsia="仿宋_GB2312"/>
        </w:rPr>
        <w:t>兴和县中医蒙医医院</w:t>
      </w:r>
      <w:r>
        <w:rPr>
          <w:rFonts w:ascii="仿宋_GB2312" w:hAnsi="仿宋_GB2312" w:cs="仿宋_GB2312" w:eastAsia="仿宋_GB2312"/>
        </w:rPr>
        <w:t xml:space="preserve"> 委托，采用公开招标方式组织采购 </w:t>
      </w:r>
      <w:r>
        <w:rPr>
          <w:rFonts w:ascii="仿宋_GB2312" w:hAnsi="仿宋_GB2312" w:cs="仿宋_GB2312" w:eastAsia="仿宋_GB2312"/>
        </w:rPr>
        <w:t>紧密型县域医共体信息化系统建设项目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紧密型县域医共体信息化系统建设项目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WSZCXH-G-F-250003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乌政采计划[2025]兴和00011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1,980,000.00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紧密型县域医共体信息化系统建设项目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1,980,000.00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1、获取时间：2025年1月25日至2025年2月6日 上午24:00前（北京时间），逾期不予受理。 2、获取方式：内蒙古自治区政府采购云平台。</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兴和县公共资源交易中心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兴和县公共资源交易中心</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于丽芳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15847469373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兴和县中医蒙医医院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兴和县城关镇新城区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杨永刚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15647423245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采购包1保证金金额：39,600.00元</w:t>
            </w:r>
          </w:p>
          <w:p>
            <w:pPr>
              <w:pStyle w:val="null5"/>
              <w:jc w:val="left"/>
            </w:pPr>
            <w:r>
              <w:rPr>
                <w:rFonts w:ascii="仿宋_GB2312" w:hAnsi="仿宋_GB2312" w:cs="仿宋_GB2312" w:eastAsia="仿宋_GB2312"/>
              </w:rPr>
              <w:t>缴交渠道：虚拟保证金,电子保函</w:t>
            </w:r>
          </w:p>
          <w:p>
            <w:pPr>
              <w:pStyle w:val="null5"/>
              <w:jc w:val="left"/>
            </w:pPr>
            <w:r>
              <w:rPr>
                <w:rFonts w:ascii="仿宋_GB2312" w:hAnsi="仿宋_GB2312" w:cs="仿宋_GB2312" w:eastAsia="仿宋_GB2312"/>
              </w:rPr>
              <w:t xml:space="preserve"> 其他说明：</w:t>
            </w:r>
          </w:p>
          <w:p>
            <w:pPr>
              <w:pStyle w:val="null5"/>
              <w:jc w:val="left"/>
            </w:pPr>
            <w:r>
              <w:rPr>
                <w:rFonts w:ascii="仿宋_GB2312" w:hAnsi="仿宋_GB2312" w:cs="仿宋_GB2312" w:eastAsia="仿宋_GB2312"/>
              </w:rPr>
              <w:t xml:space="preserve"> 1、缴纳截止时间为本项目投标（报价）截止时间，以保证金账户实际收款为准；</w:t>
            </w:r>
          </w:p>
          <w:p>
            <w:pPr>
              <w:pStyle w:val="null5"/>
              <w:jc w:val="left"/>
            </w:pPr>
            <w:r>
              <w:rPr>
                <w:rFonts w:ascii="仿宋_GB2312" w:hAnsi="仿宋_GB2312" w:cs="仿宋_GB2312" w:eastAsia="仿宋_GB2312"/>
              </w:rPr>
              <w:t xml:space="preserve"> 2、采用线下缴纳的，投标单位必须通过基本账户转账至保证金账户，在汇款时要在备注信息中注明本项目的编号及用途（如“项目编号，投标保证金”）。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兴和县中医蒙医医院</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兴和县公共资源交易中心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我院开展紧密型县域医共体信息化系统建设项目，主要为医共体信息化系统软件平台、医共体成员单位（7个卫生院、1个社区服务中心、1个社区服务站）基础业务系统和医共体数据中心服务器的建设与安装，提高总医院医疗卫生资源配置和使用效率，构建统一的医疗信息平台，实现医疗数据的集中存储、管理及医疗资源共享等。</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自合同签订之日起90天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1、合同签订后，达到付款条件起15日，支付合同总金额的50.00%</w:t>
            </w:r>
          </w:p>
          <w:p>
            <w:pPr>
              <w:pStyle w:val="null5"/>
              <w:jc w:val="left"/>
            </w:pPr>
            <w:r>
              <w:rPr>
                <w:rFonts w:ascii="仿宋_GB2312" w:hAnsi="仿宋_GB2312" w:cs="仿宋_GB2312" w:eastAsia="仿宋_GB2312"/>
              </w:rPr>
              <w:t>2、项目验收合格后，达到付款条件起15日，支付合同总金额的40.00%</w:t>
            </w:r>
          </w:p>
          <w:p>
            <w:pPr>
              <w:pStyle w:val="null5"/>
              <w:jc w:val="left"/>
            </w:pPr>
            <w:r>
              <w:rPr>
                <w:rFonts w:ascii="仿宋_GB2312" w:hAnsi="仿宋_GB2312" w:cs="仿宋_GB2312" w:eastAsia="仿宋_GB2312"/>
              </w:rPr>
              <w:t>3、正常运行3个月后，达到付款条件起15日，支付合同总金额的10.00%</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标的名称：紧密型县域医共体信息化系统建设项目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详见招标公告附件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w:t>
            </w:r>
          </w:p>
        </w:tc>
        <w:tc>
          <w:tcPr>
            <w:tcW w:type="dxa" w:w="3115"/>
          </w:tcPr>
          <w:p>
            <w:pPr>
              <w:pStyle w:val="null5"/>
              <w:jc w:val="left"/>
            </w:pPr>
            <w:r>
              <w:rPr>
                <w:rFonts w:ascii="仿宋_GB2312" w:hAnsi="仿宋_GB2312" w:cs="仿宋_GB2312" w:eastAsia="仿宋_GB2312"/>
              </w:rPr>
              <w:t>标记“▲”的为重要参数，每有一项不满足(或负偏离)扣2分,未标记“▲”为一般参数，每有一项不满足(或负偏离)扣1分，扣完为止。 注：标记“▲”需提供招标文件要求的相应证明材料，未提供相应证明材料或提供相应证明材料不清晰等无法证明技术参数满足要求的视为不满足。</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需求分析</w:t>
            </w:r>
          </w:p>
        </w:tc>
        <w:tc>
          <w:tcPr>
            <w:tcW w:type="dxa" w:w="3115"/>
          </w:tcPr>
          <w:p>
            <w:pPr>
              <w:pStyle w:val="null5"/>
              <w:jc w:val="left"/>
            </w:pPr>
            <w:r>
              <w:rPr>
                <w:rFonts w:ascii="仿宋_GB2312" w:hAnsi="仿宋_GB2312" w:cs="仿宋_GB2312" w:eastAsia="仿宋_GB2312"/>
              </w:rPr>
              <w:t>供应商针对本项目提供的需求分析：（1）信息化现状分析；（2）业务需求分析；（3）功能需求分析；（4）性能需求分析；（5）云计算资源需求分析。每一小项内容完整全面，条理清晰、分析合理，完全满足项目要求得2分，每一小项内容不详细，思路不清晰，可行性一般得1分，单一小项没有提供或与本项目无关不得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项目整体设计</w:t>
            </w:r>
          </w:p>
        </w:tc>
        <w:tc>
          <w:tcPr>
            <w:tcW w:type="dxa" w:w="3115"/>
          </w:tcPr>
          <w:p>
            <w:pPr>
              <w:pStyle w:val="null5"/>
              <w:jc w:val="left"/>
            </w:pPr>
            <w:r>
              <w:rPr>
                <w:rFonts w:ascii="仿宋_GB2312" w:hAnsi="仿宋_GB2312" w:cs="仿宋_GB2312" w:eastAsia="仿宋_GB2312"/>
              </w:rPr>
              <w:t>供应商针对本项目提供的项目整体设计方案：（1）项目建设原则；（2）总体架构设计；（3）技术架构设计；（4）关键技术路线；（5）标准规范设计；（6）数据资源系统设计；（7）数据集成系统设计；（8）数据中心设计。每一小项内容完整全面、条理清晰、科学合理可行得2分，每一小项内容不全面、条理不清晰，可行性一般得1分，单一小项没有提供或与本项目无关不得分，最高得16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供应商针对本项目制定的实施方案： （1）实施目标； （2）人员配置及其工作职责； （3）项目管理方案； （4）项目实施进度安排； （5）进度保证措施。 每一小项内容完整全面、条理清晰、科学合理可行得2分，每一小项内容不全面、条理不清晰，可行性一般得1分，单一小项没有提供或与本项目无关不得分，最高得10分。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供应商针对本项目提供的培训方案： （1）培训目标及培训计划； （2）培训内容及培训方式； （3）培训人员安排； （4）培训流程。 每一小项内容完整全面、突出、合理可行的得2分，每一小项不全面、相对简单得1分，单一小项没有提供或与本项目无关不得分，最高得8分。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供应商每提供一项医疗行业信息化业绩得1分，最多得2分。(需提供中标通知书或合同)</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服务能力</w:t>
            </w:r>
          </w:p>
        </w:tc>
        <w:tc>
          <w:tcPr>
            <w:tcW w:type="dxa" w:w="3115"/>
          </w:tcPr>
          <w:p>
            <w:pPr>
              <w:pStyle w:val="null5"/>
              <w:jc w:val="left"/>
            </w:pPr>
            <w:r>
              <w:rPr>
                <w:rFonts w:ascii="仿宋_GB2312" w:hAnsi="仿宋_GB2312" w:cs="仿宋_GB2312" w:eastAsia="仿宋_GB2312"/>
              </w:rPr>
              <w:t>1、具有医共体相关软件产品著作权证书，提供一项得1分，最高得3分。 2、供应商为本项目提供1名项目负责人:同时具有信息系统运维管理工程师证书和软件测评工程师证书，得3分。（需提供人员近半年内连续3个月缴纳社保证明扫描件，提供不全的不得分）。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售后服务</w:t>
            </w:r>
          </w:p>
        </w:tc>
        <w:tc>
          <w:tcPr>
            <w:tcW w:type="dxa" w:w="3115"/>
          </w:tcPr>
          <w:p>
            <w:pPr>
              <w:pStyle w:val="null5"/>
              <w:jc w:val="left"/>
            </w:pPr>
            <w:r>
              <w:rPr>
                <w:rFonts w:ascii="仿宋_GB2312" w:hAnsi="仿宋_GB2312" w:cs="仿宋_GB2312" w:eastAsia="仿宋_GB2312"/>
              </w:rPr>
              <w:t>供应商针对本项目提供的售后服务方案： （1）运维服务内容； （2）售后服务团队； （3）服务响应时间及措施； （4）运维期服务承诺。 每一小项内容完整全面、突出、合理可行的得2分，每一小项内容不全面、相对简单得1分，单一小项没有提供或与本项目无关不得分，最高得8分。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