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察右前旗土镇棚改拆迁建筑垃圾清理整治项目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察哈尔右翼前旗城市管理综合行政执法局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内蒙古衡瑞达工程项目管理有限责任公司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WSZCQQS-C-G-250001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内蒙古衡瑞达工程项目管理有限责任公司</w:t>
      </w:r>
      <w:r>
        <w:rPr>
          <w:rFonts w:ascii="仿宋_GB2312" w:hAnsi="仿宋_GB2312" w:cs="仿宋_GB2312" w:eastAsia="仿宋_GB2312"/>
        </w:rPr>
        <w:t xml:space="preserve"> 受 </w:t>
      </w:r>
      <w:r>
        <w:rPr>
          <w:rFonts w:ascii="仿宋_GB2312" w:hAnsi="仿宋_GB2312" w:cs="仿宋_GB2312" w:eastAsia="仿宋_GB2312"/>
        </w:rPr>
        <w:t>察哈尔右翼前旗城市管理综合行政执法局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察右前旗土镇棚改拆迁建筑垃圾清理整治项目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察右前旗土镇棚改拆迁建筑垃圾清理整治项目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WSZCQQS-C-G-250001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乌政采计划[2025]前旗00001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2,723,800.00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察右前旗土镇棚改拆迁建筑垃圾清理整治项目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2,723,800.00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1、具有独立承担民事责任的能力：审查供应商营业执照等证明文件或者身份证明。</w:t>
      </w:r>
    </w:p>
    <w:p>
      <w:pPr>
        <w:pStyle w:val="null5"/>
        <w:jc w:val="left"/>
      </w:pPr>
      <w:r>
        <w:rPr>
          <w:rFonts w:ascii="仿宋_GB2312" w:hAnsi="仿宋_GB2312" w:cs="仿宋_GB2312" w:eastAsia="仿宋_GB2312"/>
        </w:rPr>
        <w:t>2、具有良好的商业信誉和健全的财务会计制度：审查供应商提供的具有良好的商业信誉和健全的财务会计制度的相关材料。</w:t>
      </w:r>
    </w:p>
    <w:p>
      <w:pPr>
        <w:pStyle w:val="null5"/>
        <w:jc w:val="left"/>
      </w:pPr>
      <w:r>
        <w:rPr>
          <w:rFonts w:ascii="仿宋_GB2312" w:hAnsi="仿宋_GB2312" w:cs="仿宋_GB2312" w:eastAsia="仿宋_GB2312"/>
        </w:rPr>
        <w:t>3、有依法缴纳税收和社会保障资金的良好记录：审查供应商提供的依法缴纳税收和社会保障资金的相关材料。</w:t>
      </w:r>
    </w:p>
    <w:p>
      <w:pPr>
        <w:pStyle w:val="null5"/>
        <w:jc w:val="left"/>
      </w:pPr>
      <w:r>
        <w:rPr>
          <w:rFonts w:ascii="仿宋_GB2312" w:hAnsi="仿宋_GB2312" w:cs="仿宋_GB2312" w:eastAsia="仿宋_GB2312"/>
        </w:rPr>
        <w:t>4、具有履行合同所必须的设备和专业技术能力：审查供应商提供的具有履行合同所必需的设备和专业技术能力的证明材料。</w:t>
      </w:r>
    </w:p>
    <w:p>
      <w:pPr>
        <w:pStyle w:val="null5"/>
        <w:jc w:val="left"/>
      </w:pPr>
      <w:r>
        <w:rPr>
          <w:rFonts w:ascii="仿宋_GB2312" w:hAnsi="仿宋_GB2312" w:cs="仿宋_GB2312" w:eastAsia="仿宋_GB2312"/>
        </w:rPr>
        <w:t>5、参加采购活动前3年内，在经营活动中没有重大违法记录：审查供应商参加本次采购活动前3年内在经营活动中没有重大违法记录的书面声明。</w:t>
      </w:r>
    </w:p>
    <w:p>
      <w:pPr>
        <w:pStyle w:val="null5"/>
        <w:jc w:val="left"/>
      </w:pPr>
      <w:r>
        <w:rPr>
          <w:rFonts w:ascii="仿宋_GB2312" w:hAnsi="仿宋_GB2312" w:cs="仿宋_GB2312" w:eastAsia="仿宋_GB2312"/>
        </w:rPr>
        <w:t>6、信用记录：资格审查时，供应商未被列入失信被执行人、税收违法黑名单、政府采购严重违法失信行为记录名单。</w:t>
      </w:r>
    </w:p>
    <w:p>
      <w:pPr>
        <w:pStyle w:val="null5"/>
        <w:jc w:val="left"/>
      </w:pPr>
      <w:r>
        <w:rPr>
          <w:rFonts w:ascii="仿宋_GB2312" w:hAnsi="仿宋_GB2312" w:cs="仿宋_GB2312" w:eastAsia="仿宋_GB2312"/>
        </w:rPr>
        <w:t>7、联合体响应（若有）：符合关于联合体响应的相关规定。</w:t>
      </w:r>
    </w:p>
    <w:p>
      <w:pPr>
        <w:pStyle w:val="null5"/>
        <w:jc w:val="left"/>
      </w:pPr>
      <w:r>
        <w:rPr>
          <w:rFonts w:ascii="仿宋_GB2312" w:hAnsi="仿宋_GB2312" w:cs="仿宋_GB2312" w:eastAsia="仿宋_GB2312"/>
        </w:rPr>
        <w:t>8、其他要求 ：具备建设行政主管部门颁发的[市政公用工程施工总承包三级]（含）以上资 质或[建筑工程施工总承包叁级]（含）以上资质，且具备有效的安全生产许可证；拟派项目负责人须具备[市政公用工程二级]（含）以上建造师资格或[建筑工程二级]（含）以上建造师资格，必须在本单位注册，同时具备有效的安全生产考核合格证书；</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内蒙古衡瑞达工程项目管理有限责任公司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察右前旗望京国际底商</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012200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王美霞</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13904740337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察哈尔右翼前旗城市管理综合行政执法局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土贵乌拉镇白土湾</w:t>
      </w:r>
    </w:p>
    <w:p>
      <w:pPr>
        <w:pStyle w:val="null5"/>
      </w:pPr>
      <w:r>
        <w:rPr>
          <w:rFonts w:ascii="仿宋_GB2312" w:hAnsi="仿宋_GB2312" w:cs="仿宋_GB2312" w:eastAsia="仿宋_GB2312"/>
        </w:rPr>
        <w:t xml:space="preserve"> 邮编： </w:t>
      </w:r>
      <w:r>
        <w:rPr>
          <w:rFonts w:ascii="仿宋_GB2312" w:hAnsi="仿宋_GB2312" w:cs="仿宋_GB2312" w:eastAsia="仿宋_GB2312"/>
        </w:rPr>
        <w:t>012200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马建文</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18748437324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 参照内工建协【2022】34号文件的规定收取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采购包1保证金金额：20,000.00元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察哈尔右翼前旗城市管理综合行政执法局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内蒙古衡瑞达工程项目管理有限责任公司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本项目主要内容为清理垃圾，挖、装、外运：装载机装挖建筑垃圾60000m³，自卸汽车运输建筑垃圾60000m³，平整场地70550m²。</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5"/>
              <w:jc w:val="left"/>
            </w:pPr>
            <w:r>
              <w:rPr>
                <w:rFonts w:ascii="仿宋_GB2312" w:hAnsi="仿宋_GB2312" w:cs="仿宋_GB2312" w:eastAsia="仿宋_GB2312"/>
              </w:rPr>
              <w:t>1</w:t>
            </w:r>
          </w:p>
        </w:tc>
        <w:tc>
          <w:tcPr>
            <w:tcW w:type="dxa" w:w="2769"/>
          </w:tcPr>
          <w:p>
            <w:pPr>
              <w:pStyle w:val="null5"/>
              <w:jc w:val="both"/>
            </w:pPr>
            <w:r>
              <w:rPr>
                <w:rFonts w:ascii="仿宋_GB2312" w:hAnsi="仿宋_GB2312" w:cs="仿宋_GB2312" w:eastAsia="仿宋_GB2312"/>
                <w:sz w:val="24"/>
              </w:rPr>
              <w:t>1、合同履行期限：合同签订后20日后内完工。</w:t>
            </w:r>
          </w:p>
          <w:p>
            <w:pPr>
              <w:pStyle w:val="null5"/>
              <w:jc w:val="left"/>
            </w:pPr>
            <w:r>
              <w:rPr>
                <w:rFonts w:ascii="仿宋_GB2312" w:hAnsi="仿宋_GB2312" w:cs="仿宋_GB2312" w:eastAsia="仿宋_GB2312"/>
                <w:sz w:val="24"/>
              </w:rPr>
              <w:t>2、合同履约地点：察右前旗。</w:t>
            </w:r>
          </w:p>
          <w:p>
            <w:pPr>
              <w:pStyle w:val="null5"/>
              <w:jc w:val="both"/>
            </w:pPr>
            <w:r>
              <w:rPr>
                <w:rFonts w:ascii="仿宋_GB2312" w:hAnsi="仿宋_GB2312" w:cs="仿宋_GB2312" w:eastAsia="仿宋_GB2312"/>
                <w:sz w:val="24"/>
              </w:rPr>
              <w:t>3、支付约定： 项目完工后 ，支付合同总金额的30.00%；项目验收合格后，支付合同总金额的 40.00%；项目审算合格后 ，支付合同总金额的 30.00%。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标的名称：察右前旗土镇棚改拆迁建筑垃圾清理整治项目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06"/>
            <w:gridSpan w:val="3"/>
          </w:tcPr>
          <w:p>
            <w:pPr>
              <w:pStyle w:val="null5"/>
              <w:jc w:val="left"/>
            </w:pPr>
            <w:r>
              <w:rPr>
                <w:rFonts w:ascii="仿宋_GB2312" w:hAnsi="仿宋_GB2312" w:cs="仿宋_GB2312" w:eastAsia="仿宋_GB2312"/>
              </w:rPr>
              <w:t xml:space="preserve"> {{未填写}}</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具有独立承担民事责任的能力</w:t>
            </w:r>
          </w:p>
        </w:tc>
        <w:tc>
          <w:tcPr>
            <w:tcW w:type="dxa" w:w="4984"/>
          </w:tcPr>
          <w:p>
            <w:pPr>
              <w:pStyle w:val="null5"/>
              <w:jc w:val="left"/>
            </w:pPr>
            <w:r>
              <w:rPr>
                <w:rFonts w:ascii="仿宋_GB2312" w:hAnsi="仿宋_GB2312" w:cs="仿宋_GB2312" w:eastAsia="仿宋_GB2312"/>
              </w:rPr>
              <w:t>审查供应商营业执照等证明文件或者身份证明。</w:t>
            </w:r>
          </w:p>
        </w:tc>
      </w:tr>
      <w:tr>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984"/>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984"/>
          </w:tcPr>
          <w:p>
            <w:pPr>
              <w:pStyle w:val="null5"/>
              <w:jc w:val="left"/>
            </w:pPr>
            <w:r>
              <w:rPr>
                <w:rFonts w:ascii="仿宋_GB2312" w:hAnsi="仿宋_GB2312" w:cs="仿宋_GB2312" w:eastAsia="仿宋_GB2312"/>
              </w:rPr>
              <w:t>审查供应商提供的依法缴纳税收和社会保障资金的相关材料。</w:t>
            </w:r>
          </w:p>
        </w:tc>
      </w:tr>
      <w:tr>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984"/>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984"/>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3322"/>
          </w:tcPr>
          <w:p>
            <w:pPr>
              <w:pStyle w:val="null5"/>
              <w:jc w:val="left"/>
            </w:pPr>
            <w:r>
              <w:rPr>
                <w:rFonts w:ascii="仿宋_GB2312" w:hAnsi="仿宋_GB2312" w:cs="仿宋_GB2312" w:eastAsia="仿宋_GB2312"/>
              </w:rPr>
              <w:t>信用记录</w:t>
            </w:r>
          </w:p>
        </w:tc>
        <w:tc>
          <w:tcPr>
            <w:tcW w:type="dxa" w:w="4984"/>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3322"/>
          </w:tcPr>
          <w:p>
            <w:pPr>
              <w:pStyle w:val="null5"/>
              <w:jc w:val="left"/>
            </w:pPr>
            <w:r>
              <w:rPr>
                <w:rFonts w:ascii="仿宋_GB2312" w:hAnsi="仿宋_GB2312" w:cs="仿宋_GB2312" w:eastAsia="仿宋_GB2312"/>
              </w:rPr>
              <w:t>联合体响应（若有）</w:t>
            </w:r>
          </w:p>
        </w:tc>
        <w:tc>
          <w:tcPr>
            <w:tcW w:type="dxa" w:w="4984"/>
          </w:tcPr>
          <w:p>
            <w:pPr>
              <w:pStyle w:val="null5"/>
              <w:jc w:val="left"/>
            </w:pPr>
            <w:r>
              <w:rPr>
                <w:rFonts w:ascii="仿宋_GB2312" w:hAnsi="仿宋_GB2312" w:cs="仿宋_GB2312" w:eastAsia="仿宋_GB2312"/>
              </w:rPr>
              <w:t>符合关于联合体响应的相关规定。</w:t>
            </w:r>
          </w:p>
        </w:tc>
      </w:tr>
      <w:tr>
        <w:tc>
          <w:tcPr>
            <w:tcW w:type="dxa" w:w="3322"/>
          </w:tcPr>
          <w:p>
            <w:pPr>
              <w:pStyle w:val="null5"/>
              <w:jc w:val="left"/>
            </w:pPr>
            <w:r>
              <w:rPr>
                <w:rFonts w:ascii="仿宋_GB2312" w:hAnsi="仿宋_GB2312" w:cs="仿宋_GB2312" w:eastAsia="仿宋_GB2312"/>
              </w:rPr>
              <w:t>其他要求</w:t>
            </w:r>
          </w:p>
        </w:tc>
        <w:tc>
          <w:tcPr>
            <w:tcW w:type="dxa" w:w="4984"/>
          </w:tcPr>
          <w:p>
            <w:pPr>
              <w:pStyle w:val="null5"/>
              <w:jc w:val="left"/>
            </w:pPr>
            <w:r>
              <w:rPr>
                <w:rFonts w:ascii="仿宋_GB2312" w:hAnsi="仿宋_GB2312" w:cs="仿宋_GB2312" w:eastAsia="仿宋_GB2312"/>
              </w:rPr>
              <w:t>具备建设行政主管部门颁发的[市政公用工程施工总承包三级]（含）以上资 质或[建筑工程施工总承包叁级]（含）以上资质，且具备有效的安全生产许可证；拟派项目负责人须具备[市政公用工程二级]（含）以上建造师资格或[建筑工程二级]（含）以上建造师资格，必须在本单位注册，同时具备有效的安全生产考核合格证书；</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内容完整性和编制水平</w:t>
            </w:r>
          </w:p>
        </w:tc>
        <w:tc>
          <w:tcPr>
            <w:tcW w:type="dxa" w:w="3115"/>
          </w:tcPr>
          <w:p>
            <w:pPr>
              <w:pStyle w:val="null5"/>
              <w:jc w:val="left"/>
            </w:pPr>
            <w:r>
              <w:rPr>
                <w:rFonts w:ascii="仿宋_GB2312" w:hAnsi="仿宋_GB2312" w:cs="仿宋_GB2312" w:eastAsia="仿宋_GB2312"/>
              </w:rPr>
              <w:t>完整的得5-10分；较完整的得0-4分。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根据供应商提供的方案的合理性、内容完整性、科学有效性、针对性、突出工程的特殊性及编制水平进行评审 。方案非常全面合理、完善的得11-20分；方案比较全面合理、完善的得1-10分；未提供得不得分。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质量管理体系与措施完善的得4-6分；较完整的得1-3分，没有的不得分。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安全管理体系与措施完善的得4-6分；较完整的得1-3分，没有的不得分。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环境保护管理体系与措施完善的得4-6分；较完整的得1-3分，没有的不得分。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工程进度计划与措施完善的得4-6分；较完整的得 1-3分，没有的不得分。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资源配置保障措施</w:t>
            </w:r>
          </w:p>
        </w:tc>
        <w:tc>
          <w:tcPr>
            <w:tcW w:type="dxa" w:w="3115"/>
          </w:tcPr>
          <w:p>
            <w:pPr>
              <w:pStyle w:val="null5"/>
              <w:jc w:val="left"/>
            </w:pPr>
            <w:r>
              <w:rPr>
                <w:rFonts w:ascii="仿宋_GB2312" w:hAnsi="仿宋_GB2312" w:cs="仿宋_GB2312" w:eastAsia="仿宋_GB2312"/>
              </w:rPr>
              <w:t>资源配备计划(拟投入的设备、仪器、劳动力、资金等)完善的得4-6分:较完整的得1-3分，没有的不得分。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投标单位近三年(2022年-2024年)承担过建筑或市政工程项目(附中标通知书、施工合同及完工验收证明)，有项得2分，最多得4分。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项目管理机构</w:t>
            </w:r>
          </w:p>
        </w:tc>
        <w:tc>
          <w:tcPr>
            <w:tcW w:type="dxa" w:w="3115"/>
          </w:tcPr>
          <w:p>
            <w:pPr>
              <w:pStyle w:val="null5"/>
              <w:jc w:val="left"/>
            </w:pPr>
            <w:r>
              <w:rPr>
                <w:rFonts w:ascii="仿宋_GB2312" w:hAnsi="仿宋_GB2312" w:cs="仿宋_GB2312" w:eastAsia="仿宋_GB2312"/>
              </w:rPr>
              <w:t>技术负责人（要求提供中级职称证书），专职施工员、材料员、资料员、质检(量)员、安全员的数量满足施工要求提供相关资格证书，有一项得1分，最多得6分。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