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集大原高铁（土贵乌拉段）沿线环境整治项目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察哈尔右翼前旗土贵乌拉镇</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中创金建技术集团有限公司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WSZCQQS-C-G-250005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中创金建技术集团有限公司</w:t>
      </w:r>
      <w:r>
        <w:rPr>
          <w:rFonts w:ascii="仿宋_GB2312" w:hAnsi="仿宋_GB2312" w:cs="仿宋_GB2312" w:eastAsia="仿宋_GB2312"/>
        </w:rPr>
        <w:t xml:space="preserve"> 受 </w:t>
      </w:r>
      <w:r>
        <w:rPr>
          <w:rFonts w:ascii="仿宋_GB2312" w:hAnsi="仿宋_GB2312" w:cs="仿宋_GB2312" w:eastAsia="仿宋_GB2312"/>
        </w:rPr>
        <w:t>察哈尔右翼前旗土贵乌拉镇</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集大原高铁（土贵乌拉段）沿线环境整治项目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集大原高铁（土贵乌拉段）沿线环境整治项目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WSZCQQS-C-G-250005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乌政采计划[2025]前旗00031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2,416,963.00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集大原高铁（土贵乌拉段）沿线环境整治项目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2,416,963.00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条件：（1）供应商须具备建设主管部门颁发的建筑工程施工总承包叁级以上(含叁级)资质或新标准规定的建设主管部门颁发的建筑工程施工总承包乙级及以上资质，同时具有有效的安全生产许可证；（2）供应商拟派的项目经理须具备建筑工程专业的二级以上(含二级)注册建造师注册证并具备有效期内的B类安全生产考核合格证，且无在建设项目。</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中创金建技术集团有限公司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乌兰察布市集宁区工农南路景泰花园商业楼5栋401户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李国庆</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13394881444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察哈尔右翼前旗土贵乌拉镇</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察右前旗红卫街1号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012200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庞泽林</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13704745554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代理服务费收费标准：参照《内蒙古自治区建设工程招标代理服务收费指导意见》的通知（内工建协【2022】34号）的规定收取取采购代理服务费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察哈尔右翼前旗土贵乌拉镇</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中创金建技术集团有限公司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集大原高铁（土贵乌拉段）沿线环境整治项目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察哈尔右翼前旗境内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1、工程竣工并验收合格后一次性付清，达到付款条件起30日，支付合同总金额的100.00%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标的名称：集大原高铁（土贵乌拉段）沿线环境整治项目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8"/>
              </w:rPr>
              <w:t>具体技术参数及性能指标详见附件工程量清单，供应商应按照工程量清单进行报价，并将已报价的工程量清单附在响应文件内。</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特定资格条件</w:t>
            </w:r>
          </w:p>
        </w:tc>
        <w:tc>
          <w:tcPr>
            <w:tcW w:type="dxa" w:w="4984"/>
          </w:tcPr>
          <w:p>
            <w:pPr>
              <w:pStyle w:val="null5"/>
              <w:jc w:val="left"/>
            </w:pPr>
            <w:r>
              <w:rPr>
                <w:rFonts w:ascii="仿宋_GB2312" w:hAnsi="仿宋_GB2312" w:cs="仿宋_GB2312" w:eastAsia="仿宋_GB2312"/>
              </w:rPr>
              <w:t>（1）供应商须具备建设主管部门颁发的建筑工程施工总承包叁级以上(含叁级)资质或新标准规定的建设主管部门颁发的建筑工程施工总承包乙级及以上资质，同时具有有效的安全生产许可证；（2）供应商拟派的项目经理须具备建筑工程专业的二级以上(含二级)注册建造师注册证并具备有效期内的B类安全生产考核合格证，且无在建设项目。</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项目整体实施方案</w:t>
            </w:r>
          </w:p>
        </w:tc>
        <w:tc>
          <w:tcPr>
            <w:tcW w:type="dxa" w:w="3115"/>
          </w:tcPr>
          <w:p>
            <w:pPr>
              <w:pStyle w:val="null5"/>
              <w:jc w:val="left"/>
            </w:pPr>
            <w:r>
              <w:rPr>
                <w:rFonts w:ascii="仿宋_GB2312" w:hAnsi="仿宋_GB2312" w:cs="仿宋_GB2312" w:eastAsia="仿宋_GB2312"/>
              </w:rPr>
              <w:t>根据供应商编制的项目整体实施方案进行评审，包括但不限于以下内容：（1）施工组织方案；（2）质量管理体系与措施；（3）安全管理体系和措施；（4）施工进度计划与保证措施；（5）资源配备计划。以上要素内容每缺少一项扣2分，每项中每有一处存在缺陷或不足、内容不完整或不符合项目实际情况的扣1分，每一项要素内容最多扣2分，本项最多扣10分。注：（1）缺陷或不足是指内容逻辑混乱，不符合相关的国家、行业标准；（2）不完整指前后内容无法连贯，不符合项目实际情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施工组织方案</w:t>
            </w:r>
          </w:p>
        </w:tc>
        <w:tc>
          <w:tcPr>
            <w:tcW w:type="dxa" w:w="3115"/>
          </w:tcPr>
          <w:p>
            <w:pPr>
              <w:pStyle w:val="null5"/>
              <w:jc w:val="left"/>
            </w:pPr>
            <w:r>
              <w:rPr>
                <w:rFonts w:ascii="仿宋_GB2312" w:hAnsi="仿宋_GB2312" w:cs="仿宋_GB2312" w:eastAsia="仿宋_GB2312"/>
              </w:rPr>
              <w:t>根据供应商编制的施工组织进行评审，包括但不限于以下内容：（1）根据项目需求、对项目目标的理解，制定主要工程项目的施工方案；（2）季节性施工方案；（3）施工过程中对重点、难点的控制以及解决措施；（4）制定完善的环境管理体系。以上要素内容每缺少一项扣2.5分，每项中每有一处存在缺陷或不足、内容不完整或不符合项目实际情况的扣1.5分，每一项要素内容最多扣2.5分，本项最多扣10分。注：（1）缺陷或不足是指内容逻辑混乱，不符合相关的国家、行业标准；（2）不完整指前后内容无法连贯，不符合项目实际情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根据供应商制定的质量管理体系与措施进行评审，包括但不限于：（1）保证质量的组织措施；（2）质量保证措施；（3）质量保证体系；（4）施工过程的质量控制。以上要素内容每缺少一项扣2.5分，每项中每有一处存在缺陷或不足、内容不完整或不符合项目实际情况的扣1.5分，每一项要素内容最多扣2.5分，本项最多扣10分。注：（1）缺陷或不足是指内容逻辑混乱，不符合相关的国家、行业标准；（2）不完整指前后内容无法连贯，不符合项目实际情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供应商提供的安全管理体系与措施进行评审，包括但不限于：（1）安全管理体系；（2）安全管理制度；（3）安全重点、难点预控措施；（4）安全保证措施。以上要素内容每缺少一项扣2.5分，每项中每有一处存在缺陷或不足、内容不完整或不符合项目实际情况的扣1.5分，每一项要素内容最多扣2.5分，本项最多扣10分。注：（1）缺陷或不足是指内容逻辑混乱，不符合相关的国家、行业标准；（2）不完整指前后内容无法连贯，不符合项目实际情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施工进度计划与保证措施</w:t>
            </w:r>
          </w:p>
        </w:tc>
        <w:tc>
          <w:tcPr>
            <w:tcW w:type="dxa" w:w="3115"/>
          </w:tcPr>
          <w:p>
            <w:pPr>
              <w:pStyle w:val="null5"/>
              <w:jc w:val="left"/>
            </w:pPr>
            <w:r>
              <w:rPr>
                <w:rFonts w:ascii="仿宋_GB2312" w:hAnsi="仿宋_GB2312" w:cs="仿宋_GB2312" w:eastAsia="仿宋_GB2312"/>
              </w:rPr>
              <w:t>根据供应商制定的施工进度计划与保证措施进行评审，包括但不限于：（1）工程进度计划；（2）施工总体进度计划；（3）各阶段进度的保证措施；（4）影响工期的其他因素。以上要素内容每缺少一项扣2.5分，每项中每有一处存在缺陷或不足、内容不完整或不符合项目实际情况的扣1.5分，每一项要素内容最多扣2.5分，本项最多扣10分。注：（1）缺陷或不足是指内容逻辑混乱，不符合相关的国家、行业标准；（2）不完整指前后内容无法连贯，不符合项目实际情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供应商编制的资源配备计划进行评审，包括但不限于：（1）施工组织机构；（2）劳动力安排计划；（3）工程主要设备投入保证措施；（4）主要施工机械配置。以上要素内容每缺少一项扣2.5分，每项中每有一处存在缺陷或不足、内容不完整或不符合项目实际情况的扣1.5分，每一项要素内容最多扣2.5分，本项最多扣10分。注：（1）缺陷或不足是指内容逻辑混乱，不符合相关的国家、行业标准；（2）不完整指前后内容无法连贯，不符合项目实际情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根据供应商所承揽的工程业绩（已竣工未竣工均可）进行评审，每有一项业绩得2.5分，此项最高得10分。 注：须提供施工合同或中标（成交）通知书扫描件，不提供不得分。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