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四子王旗兽医社会化服务项目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四子王旗动物疫病预防控制中心</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内蒙古众泽工程项目管理有限公司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WSZCSZS-G-F-250004</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内蒙古众泽工程项目管理有限公司</w:t>
      </w:r>
      <w:r>
        <w:rPr>
          <w:rFonts w:ascii="仿宋_GB2312" w:hAnsi="仿宋_GB2312" w:cs="仿宋_GB2312" w:eastAsia="仿宋_GB2312"/>
        </w:rPr>
        <w:t xml:space="preserve"> 受 </w:t>
      </w:r>
      <w:r>
        <w:rPr>
          <w:rFonts w:ascii="仿宋_GB2312" w:hAnsi="仿宋_GB2312" w:cs="仿宋_GB2312" w:eastAsia="仿宋_GB2312"/>
        </w:rPr>
        <w:t>四子王旗动物疫病预防控制中心</w:t>
      </w:r>
      <w:r>
        <w:rPr>
          <w:rFonts w:ascii="仿宋_GB2312" w:hAnsi="仿宋_GB2312" w:cs="仿宋_GB2312" w:eastAsia="仿宋_GB2312"/>
        </w:rPr>
        <w:t xml:space="preserve"> 委托，采用公开招标方式组织采购 </w:t>
      </w:r>
      <w:r>
        <w:rPr>
          <w:rFonts w:ascii="仿宋_GB2312" w:hAnsi="仿宋_GB2312" w:cs="仿宋_GB2312" w:eastAsia="仿宋_GB2312"/>
        </w:rPr>
        <w:t>四子王旗兽医社会化服务项目</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四子王旗兽医社会化服务项目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WSZCSZS-G-F-250004</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乌政采计划[2025]四子00004</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5,027,300.00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四子王旗兽医社会化服务项目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5,027,300.00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1、投标人资格要求：投标人如为生产厂家，须提供有效的《兽药生产许可证》，如为代理商,须提供有效的《兽药经营许可证》;</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内蒙古众泽工程项目管理有限公司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内蒙古自治区呼和浩特市赛罕区乌尼尔西街华渊春晓住宅小区24号楼1单元601</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010010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郭女士</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17684891097</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四子王旗动物疫病预防控制中心</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四子王旗乌兰花镇和平路315号</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011800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田主任</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13948482781</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采购单位授权评标委员会按照采购文件规定的方式确定中标（成交）供应商。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代理服务费收费标准：参照内工建协【2022】34号文件取费</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采购包1：不属于专门面向中小企业采购。</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四子王旗动物疫病预防控制中心</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内蒙古众泽工程项目管理有限公司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税收违法黑名单、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供应商须提供2022年度或2023年度经会计师事务所出具的财务审计报告（审计报告应当由两名具备相关业务资格的注册会计师签名盖章并经会计师事务所盖章方为有效，审计报告中应包括资产负债表、现金流量表等）或其基本开户银行出具的近一年内的银行资信证明。（扫描件附于响应文件中，扫描件须清晰可辨，否则不予认可）</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1、供应商须提供递交投标文件截止之日前三个月（任意一个月）的良好缴纳税收的相关凭据。（以税务机关提供的纳税凭据或银行入账单为准） 2、供应商须提供递交投标文件截止之日前三个月（任意一个月）缴纳社会保险的凭证。（以专用收据或社会保险缴纳清单为准） 注：其他组织和自然人也需要提供缴纳税收的凭据和缴纳社保的凭据。依法免税或不需要缴纳社会保障资金的供应商，应提供相应文件证明其依法免税或不需要缴纳社会保障资金。（扫描件附于响应文件中，扫描件须清晰可辨，否则不予认可）</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供应商须在“信用中国”网站(www.creditchina.gov.cn)、“中国政府采购网”（www.ccgp.gov.cn）查询投标人的信用记录。对列入失信被执行人、重大税收违法案件当事人名单、政府采购严重违法失信行为记录名单及其他不符合《政府采购法》第二十二条规定条件的供应商，拒绝其参与政府采购活动。</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投标人资格要求</w:t>
            </w:r>
          </w:p>
        </w:tc>
        <w:tc>
          <w:tcPr>
            <w:tcW w:type="dxa" w:w="4984"/>
          </w:tcPr>
          <w:p>
            <w:pPr>
              <w:pStyle w:val="null5"/>
              <w:jc w:val="left"/>
            </w:pPr>
            <w:r>
              <w:rPr>
                <w:rFonts w:ascii="仿宋_GB2312" w:hAnsi="仿宋_GB2312" w:cs="仿宋_GB2312" w:eastAsia="仿宋_GB2312"/>
              </w:rPr>
              <w:t>投标人如为生产厂家，须提供有效的《兽药生产许可证》，如为代理商,须提供有效的《兽药经营许可证》;</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四子王旗兽医社会化服务项目，防疫服务包括（免疫、流调、消毒、采样、协检、培训、宣传、疫情处置、无害化处理、应急防控等工作），具体内容详见招标文件。</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1年，2025年2月19日至2026年02月18日（具体交货时间以合同签订为准）</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招标人指派地点</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1、该项目全部实施完成之后，达到付款条件起30日，支付合同总金额的90.00%</w:t>
            </w:r>
          </w:p>
          <w:p>
            <w:pPr>
              <w:pStyle w:val="null5"/>
              <w:jc w:val="left"/>
            </w:pPr>
            <w:r>
              <w:rPr>
                <w:rFonts w:ascii="仿宋_GB2312" w:hAnsi="仿宋_GB2312" w:cs="仿宋_GB2312" w:eastAsia="仿宋_GB2312"/>
              </w:rPr>
              <w:t>2、验收后据实支付 ，达到付款条件起30日，支付合同总金额的10.00%</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标的名称：四子王旗兽医社会化服务项目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1"/>
                <w:b/>
              </w:rPr>
              <w:t>一、服务</w:t>
            </w:r>
            <w:r>
              <w:rPr>
                <w:rFonts w:ascii="仿宋_GB2312" w:hAnsi="仿宋_GB2312" w:cs="仿宋_GB2312" w:eastAsia="仿宋_GB2312"/>
                <w:sz w:val="21"/>
                <w:b/>
              </w:rPr>
              <w:t>要求：</w:t>
            </w:r>
          </w:p>
          <w:p>
            <w:pPr>
              <w:pStyle w:val="null5"/>
              <w:ind w:firstLine="420"/>
              <w:jc w:val="both"/>
            </w:pPr>
            <w:r>
              <w:rPr>
                <w:rFonts w:ascii="仿宋_GB2312" w:hAnsi="仿宋_GB2312" w:cs="仿宋_GB2312" w:eastAsia="仿宋_GB2312"/>
                <w:sz w:val="21"/>
              </w:rPr>
              <w:t xml:space="preserve"> </w:t>
            </w:r>
            <w:r>
              <w:rPr>
                <w:rFonts w:ascii="仿宋_GB2312" w:hAnsi="仿宋_GB2312" w:cs="仿宋_GB2312" w:eastAsia="仿宋_GB2312"/>
                <w:sz w:val="21"/>
              </w:rPr>
              <w:t>(一)</w:t>
            </w:r>
            <w:r>
              <w:rPr>
                <w:rFonts w:ascii="仿宋_GB2312" w:hAnsi="仿宋_GB2312" w:cs="仿宋_GB2312" w:eastAsia="仿宋_GB2312"/>
                <w:sz w:val="21"/>
              </w:rPr>
              <w:t>做好口蹄疫、高致病性禽流感、小反刍兽疫、布病、包虫病等重大动物疫病强制免疫和</w:t>
            </w:r>
            <w:r>
              <w:rPr>
                <w:rFonts w:ascii="仿宋_GB2312" w:hAnsi="仿宋_GB2312" w:cs="仿宋_GB2312" w:eastAsia="仿宋_GB2312"/>
                <w:sz w:val="21"/>
              </w:rPr>
              <w:t>猪瘟、高致病性猪蓝耳病、鸡新城疫、</w:t>
            </w:r>
            <w:r>
              <w:rPr>
                <w:rFonts w:ascii="仿宋_GB2312" w:hAnsi="仿宋_GB2312" w:cs="仿宋_GB2312" w:eastAsia="仿宋_GB2312"/>
                <w:sz w:val="21"/>
              </w:rPr>
              <w:t>牛结节性皮肤病、羊痘、狂犬病、炭疽、羊快疫、羊肠毒血症、羊猝狙</w:t>
            </w:r>
            <w:r>
              <w:rPr>
                <w:rFonts w:ascii="仿宋_GB2312" w:hAnsi="仿宋_GB2312" w:cs="仿宋_GB2312" w:eastAsia="仿宋_GB2312"/>
                <w:sz w:val="21"/>
              </w:rPr>
              <w:t>等重大动物疫病强制免疫注射工作</w:t>
            </w:r>
            <w:r>
              <w:rPr>
                <w:rFonts w:ascii="仿宋_GB2312" w:hAnsi="仿宋_GB2312" w:cs="仿宋_GB2312" w:eastAsia="仿宋_GB2312"/>
                <w:sz w:val="21"/>
              </w:rPr>
              <w:t>（按区、市、旗免疫计划执行）</w:t>
            </w:r>
            <w:r>
              <w:rPr>
                <w:rFonts w:ascii="仿宋_GB2312" w:hAnsi="仿宋_GB2312" w:cs="仿宋_GB2312" w:eastAsia="仿宋_GB2312"/>
                <w:sz w:val="21"/>
              </w:rPr>
              <w:t>。</w:t>
            </w:r>
          </w:p>
          <w:p>
            <w:pPr>
              <w:pStyle w:val="null5"/>
              <w:ind w:firstLine="420"/>
              <w:jc w:val="both"/>
            </w:pPr>
            <w:r>
              <w:rPr>
                <w:rFonts w:ascii="仿宋_GB2312" w:hAnsi="仿宋_GB2312" w:cs="仿宋_GB2312" w:eastAsia="仿宋_GB2312"/>
                <w:sz w:val="21"/>
              </w:rPr>
              <w:t>动物存栏量为猪</w:t>
            </w:r>
            <w:r>
              <w:rPr>
                <w:rFonts w:ascii="仿宋_GB2312" w:hAnsi="仿宋_GB2312" w:cs="仿宋_GB2312" w:eastAsia="仿宋_GB2312"/>
                <w:sz w:val="21"/>
              </w:rPr>
              <w:t>0.37</w:t>
            </w:r>
            <w:r>
              <w:rPr>
                <w:rFonts w:ascii="仿宋_GB2312" w:hAnsi="仿宋_GB2312" w:cs="仿宋_GB2312" w:eastAsia="仿宋_GB2312"/>
                <w:sz w:val="21"/>
              </w:rPr>
              <w:t>万</w:t>
            </w:r>
            <w:r>
              <w:rPr>
                <w:rFonts w:ascii="仿宋_GB2312" w:hAnsi="仿宋_GB2312" w:cs="仿宋_GB2312" w:eastAsia="仿宋_GB2312"/>
                <w:sz w:val="21"/>
              </w:rPr>
              <w:t>头</w:t>
            </w:r>
            <w:r>
              <w:rPr>
                <w:rFonts w:ascii="仿宋_GB2312" w:hAnsi="仿宋_GB2312" w:cs="仿宋_GB2312" w:eastAsia="仿宋_GB2312"/>
                <w:sz w:val="21"/>
              </w:rPr>
              <w:t>、牛</w:t>
            </w:r>
            <w:r>
              <w:rPr>
                <w:rFonts w:ascii="仿宋_GB2312" w:hAnsi="仿宋_GB2312" w:cs="仿宋_GB2312" w:eastAsia="仿宋_GB2312"/>
                <w:sz w:val="21"/>
              </w:rPr>
              <w:t>8</w:t>
            </w:r>
            <w:r>
              <w:rPr>
                <w:rFonts w:ascii="仿宋_GB2312" w:hAnsi="仿宋_GB2312" w:cs="仿宋_GB2312" w:eastAsia="仿宋_GB2312"/>
                <w:sz w:val="21"/>
              </w:rPr>
              <w:t>万头、羊</w:t>
            </w:r>
            <w:r>
              <w:rPr>
                <w:rFonts w:ascii="仿宋_GB2312" w:hAnsi="仿宋_GB2312" w:cs="仿宋_GB2312" w:eastAsia="仿宋_GB2312"/>
                <w:sz w:val="21"/>
              </w:rPr>
              <w:t>234.5</w:t>
            </w:r>
            <w:r>
              <w:rPr>
                <w:rFonts w:ascii="仿宋_GB2312" w:hAnsi="仿宋_GB2312" w:cs="仿宋_GB2312" w:eastAsia="仿宋_GB2312"/>
                <w:sz w:val="21"/>
              </w:rPr>
              <w:t>万只、禽</w:t>
            </w:r>
            <w:r>
              <w:rPr>
                <w:rFonts w:ascii="仿宋_GB2312" w:hAnsi="仿宋_GB2312" w:cs="仿宋_GB2312" w:eastAsia="仿宋_GB2312"/>
                <w:sz w:val="21"/>
              </w:rPr>
              <w:t>3.4</w:t>
            </w:r>
            <w:r>
              <w:rPr>
                <w:rFonts w:ascii="仿宋_GB2312" w:hAnsi="仿宋_GB2312" w:cs="仿宋_GB2312" w:eastAsia="仿宋_GB2312"/>
                <w:sz w:val="21"/>
              </w:rPr>
              <w:t>万羽、犬</w:t>
            </w:r>
            <w:r>
              <w:rPr>
                <w:rFonts w:ascii="仿宋_GB2312" w:hAnsi="仿宋_GB2312" w:cs="仿宋_GB2312" w:eastAsia="仿宋_GB2312"/>
                <w:sz w:val="21"/>
              </w:rPr>
              <w:t>1.28</w:t>
            </w:r>
            <w:r>
              <w:rPr>
                <w:rFonts w:ascii="仿宋_GB2312" w:hAnsi="仿宋_GB2312" w:cs="仿宋_GB2312" w:eastAsia="仿宋_GB2312"/>
                <w:sz w:val="21"/>
              </w:rPr>
              <w:t>万只</w:t>
            </w:r>
            <w:r>
              <w:rPr>
                <w:rFonts w:ascii="仿宋_GB2312" w:hAnsi="仿宋_GB2312" w:cs="仿宋_GB2312" w:eastAsia="仿宋_GB2312"/>
                <w:sz w:val="21"/>
              </w:rPr>
              <w:t>、</w:t>
            </w:r>
            <w:r>
              <w:rPr>
                <w:rFonts w:ascii="仿宋_GB2312" w:hAnsi="仿宋_GB2312" w:cs="仿宋_GB2312" w:eastAsia="仿宋_GB2312"/>
                <w:sz w:val="21"/>
              </w:rPr>
              <w:t>骆驼</w:t>
            </w:r>
            <w:r>
              <w:rPr>
                <w:rFonts w:ascii="仿宋_GB2312" w:hAnsi="仿宋_GB2312" w:cs="仿宋_GB2312" w:eastAsia="仿宋_GB2312"/>
                <w:sz w:val="21"/>
              </w:rPr>
              <w:t>0.43万峰</w:t>
            </w:r>
            <w:r>
              <w:rPr>
                <w:rFonts w:ascii="仿宋_GB2312" w:hAnsi="仿宋_GB2312" w:cs="仿宋_GB2312" w:eastAsia="仿宋_GB2312"/>
                <w:sz w:val="21"/>
              </w:rPr>
              <w:t>。要求按时按质完成每年春、秋两次免疫，</w:t>
            </w:r>
            <w:r>
              <w:rPr>
                <w:rFonts w:ascii="仿宋_GB2312" w:hAnsi="仿宋_GB2312" w:cs="仿宋_GB2312" w:eastAsia="仿宋_GB2312"/>
                <w:sz w:val="21"/>
              </w:rPr>
              <w:t>重大动物疫病免疫群体免疫密度常年保持在</w:t>
            </w:r>
            <w:r>
              <w:rPr>
                <w:rFonts w:ascii="仿宋_GB2312" w:hAnsi="仿宋_GB2312" w:cs="仿宋_GB2312" w:eastAsia="仿宋_GB2312"/>
                <w:sz w:val="21"/>
              </w:rPr>
              <w:t>90%以上，其中应免畜禽免疫密度应达到100%。口蹄疫、高致病性禽流感、小反刍兽疫免疫抗体合格率全年保持在70%以上。计划免疫病种群体免疫密度保持在90%以上，应免畜禽免疫密度应达到100%，免疫抗体合格率全年保持在70%以上。</w:t>
            </w:r>
          </w:p>
          <w:p>
            <w:pPr>
              <w:pStyle w:val="null5"/>
              <w:ind w:firstLine="420"/>
              <w:jc w:val="both"/>
            </w:pPr>
            <w:r>
              <w:rPr>
                <w:rFonts w:ascii="仿宋_GB2312" w:hAnsi="仿宋_GB2312" w:cs="仿宋_GB2312" w:eastAsia="仿宋_GB2312"/>
                <w:sz w:val="21"/>
              </w:rPr>
              <w:t>所需防疫疫苗及必要物资由政府按照各地动物饲养及疫病防控需要提供。</w:t>
            </w:r>
          </w:p>
          <w:p>
            <w:pPr>
              <w:pStyle w:val="null5"/>
              <w:ind w:firstLine="420"/>
              <w:jc w:val="both"/>
            </w:pPr>
            <w:r>
              <w:rPr>
                <w:rFonts w:ascii="仿宋_GB2312" w:hAnsi="仿宋_GB2312" w:cs="仿宋_GB2312" w:eastAsia="仿宋_GB2312"/>
                <w:sz w:val="21"/>
              </w:rPr>
              <w:t>（二）动物免疫信息管理。做好免疫标识佩戴、免疫废弃物回收处理。按要求为养殖户建立《动物免疫档案》，规模养殖场建立《养殖档案》。统计上报动物防疫报表、信息及进展情况和工作总结。</w:t>
            </w:r>
          </w:p>
          <w:p>
            <w:pPr>
              <w:pStyle w:val="null5"/>
              <w:ind w:firstLine="420"/>
              <w:jc w:val="both"/>
            </w:pPr>
            <w:r>
              <w:rPr>
                <w:rFonts w:ascii="仿宋_GB2312" w:hAnsi="仿宋_GB2312" w:cs="仿宋_GB2312" w:eastAsia="仿宋_GB2312"/>
                <w:sz w:val="21"/>
              </w:rPr>
              <w:t>（三）防疫物资供应。承接主体应根据辖区内畜禽存栏情况领取并使用疫苗等防控物资，并由专人做好疫苗等防控物资出入库台账。免疫疫苗要确保其运输、储存和使用等环节的全程冷链，妥善管理、确保使用安全。在集中强制免疫过程中出现免疫副反应的应及时进行救治，因救治无效死亡的上报旗级部门进行补偿</w:t>
            </w:r>
          </w:p>
          <w:p>
            <w:pPr>
              <w:pStyle w:val="null5"/>
              <w:ind w:firstLine="420"/>
              <w:jc w:val="both"/>
            </w:pPr>
            <w:r>
              <w:rPr>
                <w:rFonts w:ascii="仿宋_GB2312" w:hAnsi="仿宋_GB2312" w:cs="仿宋_GB2312" w:eastAsia="仿宋_GB2312"/>
                <w:sz w:val="21"/>
              </w:rPr>
              <w:t>（四）流调采样工作。按要求每月开展流行病调查、疫病排查和监测采样送样等工作。</w:t>
            </w:r>
          </w:p>
          <w:p>
            <w:pPr>
              <w:pStyle w:val="null5"/>
              <w:ind w:firstLine="420"/>
              <w:jc w:val="both"/>
            </w:pPr>
            <w:r>
              <w:rPr>
                <w:rFonts w:ascii="仿宋_GB2312" w:hAnsi="仿宋_GB2312" w:cs="仿宋_GB2312" w:eastAsia="仿宋_GB2312"/>
                <w:sz w:val="21"/>
              </w:rPr>
              <w:t>（五）消毒灭源工作。按要求完成常规、专项和应急消毒灭源工作，常规消毒主要包括每年春、秋的集中消毒灭源；专项消毒针对国家要求完成的专项消毒灭源；应急消毒要根据疫病的发生情况确定消毒频次和范围。</w:t>
            </w:r>
          </w:p>
          <w:p>
            <w:pPr>
              <w:pStyle w:val="null5"/>
              <w:ind w:firstLine="420"/>
              <w:jc w:val="both"/>
            </w:pPr>
            <w:r>
              <w:rPr>
                <w:rFonts w:ascii="仿宋_GB2312" w:hAnsi="仿宋_GB2312" w:cs="仿宋_GB2312" w:eastAsia="仿宋_GB2312"/>
                <w:sz w:val="21"/>
              </w:rPr>
              <w:t>（六）协管服务。协助做好产地检疫、政策性养殖业保险、病死畜禽无害化处理等工作。</w:t>
            </w:r>
          </w:p>
          <w:p>
            <w:pPr>
              <w:pStyle w:val="null5"/>
              <w:ind w:firstLine="420"/>
              <w:jc w:val="both"/>
            </w:pPr>
            <w:r>
              <w:rPr>
                <w:rFonts w:ascii="仿宋_GB2312" w:hAnsi="仿宋_GB2312" w:cs="仿宋_GB2312" w:eastAsia="仿宋_GB2312"/>
                <w:sz w:val="21"/>
              </w:rPr>
              <w:t>（七）培训宣传。承接主体每年对动物防疫员（协检员）、乡村兽医培训至少</w:t>
            </w:r>
            <w:r>
              <w:rPr>
                <w:rFonts w:ascii="仿宋_GB2312" w:hAnsi="仿宋_GB2312" w:cs="仿宋_GB2312" w:eastAsia="仿宋_GB2312"/>
                <w:sz w:val="21"/>
              </w:rPr>
              <w:t>2次；对规模养殖场（户）负责人业务培训全覆盖。提升动物防疫员业务水平，提高养殖户动物疫病防控意识。协助业务部门通过多种方式做好宣传工作，不断提高群众动物疫病防控意识和自我防护水平。</w:t>
            </w:r>
          </w:p>
          <w:p>
            <w:pPr>
              <w:pStyle w:val="null5"/>
              <w:ind w:firstLine="420"/>
              <w:jc w:val="both"/>
            </w:pPr>
            <w:r>
              <w:rPr>
                <w:rFonts w:ascii="仿宋_GB2312" w:hAnsi="仿宋_GB2312" w:cs="仿宋_GB2312" w:eastAsia="仿宋_GB2312"/>
                <w:sz w:val="21"/>
              </w:rPr>
              <w:t>（八）应急防控：配备必要的应急动物防疫和发生紧急动物疫情设备。如注射器、针头、投药枪、消毒药品、消毒器械、个人防护用品以及应急药品（肾上腺素、地塞米松等）</w:t>
            </w:r>
          </w:p>
          <w:p>
            <w:pPr>
              <w:pStyle w:val="null5"/>
              <w:ind w:firstLine="420"/>
              <w:jc w:val="both"/>
            </w:pPr>
            <w:r>
              <w:rPr>
                <w:rFonts w:ascii="仿宋_GB2312" w:hAnsi="仿宋_GB2312" w:cs="仿宋_GB2312" w:eastAsia="仿宋_GB2312"/>
                <w:sz w:val="21"/>
              </w:rPr>
              <w:t>（九）疫情处置。开展疫情处置（重大动物疫病应急免疫、流调、消毒、隔离、封锁、扑杀、无害化处理等相关应急处置工作）。完成主管部门和业务部门交办的其它防疫工作。</w:t>
            </w:r>
          </w:p>
          <w:p>
            <w:pPr>
              <w:pStyle w:val="null5"/>
              <w:ind w:firstLine="420"/>
              <w:jc w:val="both"/>
            </w:pPr>
            <w:r>
              <w:rPr>
                <w:rFonts w:ascii="仿宋_GB2312" w:hAnsi="仿宋_GB2312" w:cs="仿宋_GB2312" w:eastAsia="仿宋_GB2312"/>
                <w:sz w:val="21"/>
              </w:rPr>
              <w:t>（十）拓展性服务工作。承接主体组建技术服务团队，开展技术服务和项目推广，产生成本性支出实行市场化受益者付费。各苏木镇、农牧场组织嘎查村社分场配合协调。</w:t>
            </w:r>
          </w:p>
          <w:p>
            <w:pPr>
              <w:pStyle w:val="null5"/>
              <w:ind w:firstLine="420"/>
              <w:jc w:val="both"/>
            </w:pPr>
            <w:r>
              <w:rPr>
                <w:rFonts w:ascii="仿宋_GB2312" w:hAnsi="仿宋_GB2312" w:cs="仿宋_GB2312" w:eastAsia="仿宋_GB2312"/>
                <w:sz w:val="21"/>
              </w:rPr>
              <w:t>（十一）防疫员队伍建设。原则上继续保留原防疫员</w:t>
            </w:r>
            <w:r>
              <w:rPr>
                <w:rFonts w:ascii="仿宋_GB2312" w:hAnsi="仿宋_GB2312" w:cs="仿宋_GB2312" w:eastAsia="仿宋_GB2312"/>
                <w:sz w:val="21"/>
              </w:rPr>
              <w:t>237名，逐年逐步结合牲畜存栏量、防疫病种的增减、防疫半径等因素根据平时考核情况末位淘汰择优录取防疫员，直至调整精简原防疫员40%，全面提高工作待遇。</w:t>
            </w:r>
          </w:p>
          <w:p>
            <w:pPr>
              <w:pStyle w:val="null5"/>
              <w:ind w:firstLine="420"/>
              <w:jc w:val="both"/>
            </w:pPr>
            <w:r>
              <w:rPr>
                <w:rFonts w:ascii="仿宋_GB2312" w:hAnsi="仿宋_GB2312" w:cs="仿宋_GB2312" w:eastAsia="仿宋_GB2312"/>
                <w:sz w:val="21"/>
              </w:rPr>
              <w:t xml:space="preserve">    </w:t>
            </w:r>
            <w:r>
              <w:rPr>
                <w:rFonts w:ascii="仿宋_GB2312" w:hAnsi="仿宋_GB2312" w:cs="仿宋_GB2312" w:eastAsia="仿宋_GB2312"/>
                <w:sz w:val="21"/>
              </w:rPr>
              <w:t>承接主体按照有关法律法规要与动物防疫员签订聘用合同，防疫员成为企业员工。要保障防疫员基本工资年</w:t>
            </w:r>
            <w:r>
              <w:rPr>
                <w:rFonts w:ascii="仿宋_GB2312" w:hAnsi="仿宋_GB2312" w:cs="仿宋_GB2312" w:eastAsia="仿宋_GB2312"/>
                <w:sz w:val="21"/>
              </w:rPr>
              <w:t>11000元，其它经费至少20%用于基层苏木镇兽医社会化工作和防疫员工作补贴（包括防疫员意外伤害保险）。</w:t>
            </w:r>
          </w:p>
          <w:p>
            <w:pPr>
              <w:pStyle w:val="null5"/>
              <w:jc w:val="both"/>
            </w:pPr>
            <w:r>
              <w:rPr>
                <w:rFonts w:ascii="仿宋_GB2312" w:hAnsi="仿宋_GB2312" w:cs="仿宋_GB2312" w:eastAsia="仿宋_GB2312"/>
                <w:sz w:val="21"/>
                <w:b/>
              </w:rPr>
              <w:t>二、相关规范要求</w:t>
            </w:r>
          </w:p>
          <w:p>
            <w:pPr>
              <w:pStyle w:val="null5"/>
              <w:jc w:val="both"/>
            </w:pPr>
            <w:r>
              <w:rPr>
                <w:rFonts w:ascii="仿宋_GB2312" w:hAnsi="仿宋_GB2312" w:cs="仿宋_GB2312" w:eastAsia="仿宋_GB2312"/>
                <w:sz w:val="21"/>
                <w:b/>
              </w:rPr>
              <w:t xml:space="preserve">    </w:t>
            </w:r>
            <w:r>
              <w:rPr>
                <w:rFonts w:ascii="仿宋_GB2312" w:hAnsi="仿宋_GB2312" w:cs="仿宋_GB2312" w:eastAsia="仿宋_GB2312"/>
                <w:sz w:val="21"/>
              </w:rPr>
              <w:t>依据《中华人民共和国动物防疫法》</w:t>
            </w:r>
          </w:p>
          <w:p>
            <w:pPr>
              <w:pStyle w:val="null5"/>
              <w:jc w:val="both"/>
            </w:pPr>
            <w:r>
              <w:rPr>
                <w:rFonts w:ascii="仿宋_GB2312" w:hAnsi="仿宋_GB2312" w:cs="仿宋_GB2312" w:eastAsia="仿宋_GB2312"/>
                <w:sz w:val="21"/>
                <w:b/>
              </w:rPr>
              <w:t>三、目标任务</w:t>
            </w:r>
          </w:p>
          <w:p>
            <w:pPr>
              <w:pStyle w:val="null5"/>
              <w:ind w:firstLine="420"/>
              <w:jc w:val="both"/>
            </w:pPr>
            <w:r>
              <w:rPr>
                <w:rFonts w:ascii="仿宋_GB2312" w:hAnsi="仿宋_GB2312" w:cs="仿宋_GB2312" w:eastAsia="仿宋_GB2312"/>
                <w:sz w:val="21"/>
              </w:rPr>
              <w:t>推动兽医社会化服务进程，进一步提升全旗动物疫病预防控制能力，保障畜牧业健康发展，巩固脱贫攻坚成果同乡村振兴有效衔接。到</w:t>
            </w:r>
            <w:r>
              <w:rPr>
                <w:rFonts w:ascii="仿宋_GB2312" w:hAnsi="仿宋_GB2312" w:cs="仿宋_GB2312" w:eastAsia="仿宋_GB2312"/>
                <w:sz w:val="21"/>
              </w:rPr>
              <w:t>2025年全面实现规模养殖场户自行防疫（先打后补）和兽医社会化服务相结合的模式，形成政府主导的公益性兽医服务和市场主导的经营性兽医服务相结合的新格局,有效防范和遏制重大动物疫病,保障畜牧业健康稳定发展和畜产品质量安全。</w:t>
            </w:r>
          </w:p>
          <w:p>
            <w:pPr>
              <w:pStyle w:val="null5"/>
              <w:jc w:val="both"/>
            </w:pPr>
            <w:r>
              <w:rPr>
                <w:rFonts w:ascii="仿宋_GB2312" w:hAnsi="仿宋_GB2312" w:cs="仿宋_GB2312" w:eastAsia="仿宋_GB2312"/>
                <w:sz w:val="21"/>
                <w:b/>
              </w:rPr>
              <w:t>四、实施范围</w:t>
            </w:r>
          </w:p>
          <w:p>
            <w:pPr>
              <w:pStyle w:val="null5"/>
              <w:ind w:firstLine="420"/>
              <w:jc w:val="both"/>
            </w:pPr>
            <w:r>
              <w:rPr>
                <w:rFonts w:ascii="仿宋_GB2312" w:hAnsi="仿宋_GB2312" w:cs="仿宋_GB2312" w:eastAsia="仿宋_GB2312"/>
                <w:sz w:val="21"/>
              </w:rPr>
              <w:t>防疫全覆盖：忽鸡图乡、查干补力格、乌兰花镇、乌兰牧场、供济堂镇、白音敖包、脑木更、白音朝克图、红格尔、江岸、大黑河、吉生太、库伦图、东八号等</w:t>
            </w:r>
            <w:r>
              <w:rPr>
                <w:rFonts w:ascii="仿宋_GB2312" w:hAnsi="仿宋_GB2312" w:cs="仿宋_GB2312" w:eastAsia="仿宋_GB2312"/>
                <w:sz w:val="21"/>
              </w:rPr>
              <w:t>14个乡镇。</w:t>
            </w:r>
          </w:p>
          <w:p>
            <w:pPr>
              <w:pStyle w:val="null5"/>
              <w:jc w:val="both"/>
            </w:pPr>
            <w:r>
              <w:rPr>
                <w:rFonts w:ascii="仿宋_GB2312" w:hAnsi="仿宋_GB2312" w:cs="仿宋_GB2312" w:eastAsia="仿宋_GB2312"/>
                <w:sz w:val="21"/>
                <w:b/>
              </w:rPr>
              <w:t>五、服务内容</w:t>
            </w:r>
          </w:p>
          <w:p>
            <w:pPr>
              <w:pStyle w:val="null5"/>
              <w:ind w:firstLine="640"/>
              <w:jc w:val="both"/>
            </w:pPr>
            <w:r>
              <w:rPr>
                <w:rFonts w:ascii="仿宋_GB2312" w:hAnsi="仿宋_GB2312" w:cs="仿宋_GB2312" w:eastAsia="仿宋_GB2312"/>
                <w:sz w:val="21"/>
              </w:rPr>
              <w:t>防疫服务包括（免疫、流调、消毒、采样、协检、培训、宣传、疫情处置、无害化处理、应急防控等工作）。防疫疫苗及必要物资由政府按照各地动物饲养及疫病防控需要提供。鼓励社会化组织开展技术推广和有偿服务等拓展性服务，提升全旗兽医公共服务能力。</w:t>
            </w:r>
          </w:p>
          <w:tbl>
            <w:tblPr>
              <w:tblBorders>
                <w:top w:val="none" w:color="000000" w:sz="4"/>
                <w:left w:val="none" w:color="000000" w:sz="4"/>
                <w:bottom w:val="none" w:color="000000" w:sz="4"/>
                <w:right w:val="none" w:color="000000" w:sz="4"/>
                <w:insideH w:val="none"/>
                <w:insideV w:val="none"/>
              </w:tblBorders>
            </w:tblPr>
            <w:tblGrid>
              <w:gridCol w:w="327"/>
              <w:gridCol w:w="376"/>
              <w:gridCol w:w="624"/>
              <w:gridCol w:w="295"/>
              <w:gridCol w:w="264"/>
              <w:gridCol w:w="650"/>
            </w:tblGrid>
            <w:tr>
              <w:tc>
                <w:tcPr>
                  <w:tcW w:type="dxa" w:w="3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序号</w:t>
                  </w:r>
                </w:p>
              </w:tc>
              <w:tc>
                <w:tcPr>
                  <w:tcW w:type="dxa" w:w="3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品目名称</w:t>
                  </w:r>
                </w:p>
              </w:tc>
              <w:tc>
                <w:tcPr>
                  <w:tcW w:type="dxa" w:w="6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采购标的</w:t>
                  </w:r>
                </w:p>
              </w:tc>
              <w:tc>
                <w:tcPr>
                  <w:tcW w:type="dxa" w:w="2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数量</w:t>
                  </w:r>
                </w:p>
              </w:tc>
              <w:tc>
                <w:tcPr>
                  <w:tcW w:type="dxa" w:w="2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单位</w:t>
                  </w:r>
                </w:p>
              </w:tc>
              <w:tc>
                <w:tcPr>
                  <w:tcW w:type="dxa" w:w="6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品目预算（元）</w:t>
                  </w:r>
                </w:p>
              </w:tc>
            </w:tr>
            <w:tr>
              <w:tc>
                <w:tcPr>
                  <w:tcW w:type="dxa" w:w="3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1</w:t>
                  </w:r>
                </w:p>
              </w:tc>
              <w:tc>
                <w:tcPr>
                  <w:tcW w:type="dxa" w:w="37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计划免疫疫苗</w:t>
                  </w:r>
                </w:p>
              </w:tc>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羊三联疫苗</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280万</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头份</w:t>
                  </w:r>
                </w:p>
              </w:tc>
              <w:tc>
                <w:tcPr>
                  <w:tcW w:type="dxa" w:w="65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计划免疫疫苗费用</w:t>
                  </w:r>
                  <w:r>
                    <w:rPr>
                      <w:rFonts w:ascii="仿宋_GB2312" w:hAnsi="仿宋_GB2312" w:cs="仿宋_GB2312" w:eastAsia="仿宋_GB2312"/>
                      <w:sz w:val="21"/>
                      <w:color w:val="000000"/>
                    </w:rPr>
                    <w:t>90万元。由旗财政用生猪（牛、羊）调出大县（旗）奖励资金支出。</w:t>
                  </w:r>
                </w:p>
              </w:tc>
            </w:tr>
            <w:tr>
              <w:tc>
                <w:tcPr>
                  <w:tcW w:type="dxa" w:w="327"/>
                  <w:vMerge/>
                  <w:tcBorders>
                    <w:top w:val="none" w:color="000000" w:sz="4"/>
                    <w:left w:val="single" w:color="000000" w:sz="4"/>
                    <w:bottom w:val="single" w:color="000000" w:sz="4"/>
                    <w:right w:val="single" w:color="000000" w:sz="4"/>
                  </w:tcBorders>
                </w:tcPr>
                <w:p/>
              </w:tc>
              <w:tc>
                <w:tcPr>
                  <w:tcW w:type="dxa" w:w="376"/>
                  <w:vMerge/>
                  <w:tcBorders>
                    <w:top w:val="none" w:color="000000" w:sz="4"/>
                    <w:left w:val="single" w:color="000000" w:sz="4"/>
                    <w:bottom w:val="single" w:color="000000" w:sz="4"/>
                    <w:right w:val="single" w:color="000000" w:sz="4"/>
                  </w:tcBorders>
                </w:tcPr>
                <w:p/>
              </w:tc>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羊痘</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280万</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头份</w:t>
                  </w:r>
                </w:p>
              </w:tc>
              <w:tc>
                <w:tcPr>
                  <w:tcW w:type="dxa" w:w="650"/>
                  <w:vMerge/>
                  <w:tcBorders>
                    <w:top w:val="none" w:color="000000" w:sz="4"/>
                    <w:left w:val="single" w:color="000000" w:sz="4"/>
                    <w:bottom w:val="single" w:color="000000" w:sz="4"/>
                    <w:right w:val="single" w:color="000000" w:sz="4"/>
                  </w:tcBorders>
                </w:tcPr>
                <w:p/>
              </w:tc>
            </w:tr>
            <w:tr>
              <w:tc>
                <w:tcPr>
                  <w:tcW w:type="dxa" w:w="327"/>
                  <w:vMerge/>
                  <w:tcBorders>
                    <w:top w:val="none" w:color="000000" w:sz="4"/>
                    <w:left w:val="single" w:color="000000" w:sz="4"/>
                    <w:bottom w:val="single" w:color="000000" w:sz="4"/>
                    <w:right w:val="single" w:color="000000" w:sz="4"/>
                  </w:tcBorders>
                </w:tcPr>
                <w:p/>
              </w:tc>
              <w:tc>
                <w:tcPr>
                  <w:tcW w:type="dxa" w:w="376"/>
                  <w:vMerge/>
                  <w:tcBorders>
                    <w:top w:val="none" w:color="000000" w:sz="4"/>
                    <w:left w:val="single" w:color="000000" w:sz="4"/>
                    <w:bottom w:val="single" w:color="000000" w:sz="4"/>
                    <w:right w:val="single" w:color="000000" w:sz="4"/>
                  </w:tcBorders>
                </w:tcPr>
                <w:p/>
              </w:tc>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鸡新成疫苗</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5万</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头份</w:t>
                  </w:r>
                </w:p>
              </w:tc>
              <w:tc>
                <w:tcPr>
                  <w:tcW w:type="dxa" w:w="650"/>
                  <w:vMerge/>
                  <w:tcBorders>
                    <w:top w:val="none" w:color="000000" w:sz="4"/>
                    <w:left w:val="single" w:color="000000" w:sz="4"/>
                    <w:bottom w:val="single" w:color="000000" w:sz="4"/>
                    <w:right w:val="single" w:color="000000" w:sz="4"/>
                  </w:tcBorders>
                </w:tcPr>
                <w:p/>
              </w:tc>
            </w:tr>
            <w:tr>
              <w:tc>
                <w:tcPr>
                  <w:tcW w:type="dxa" w:w="327"/>
                  <w:vMerge/>
                  <w:tcBorders>
                    <w:top w:val="none" w:color="000000" w:sz="4"/>
                    <w:left w:val="single" w:color="000000" w:sz="4"/>
                    <w:bottom w:val="single" w:color="000000" w:sz="4"/>
                    <w:right w:val="single" w:color="000000" w:sz="4"/>
                  </w:tcBorders>
                </w:tcPr>
                <w:p/>
              </w:tc>
              <w:tc>
                <w:tcPr>
                  <w:tcW w:type="dxa" w:w="376"/>
                  <w:vMerge/>
                  <w:tcBorders>
                    <w:top w:val="none" w:color="000000" w:sz="4"/>
                    <w:left w:val="single" w:color="000000" w:sz="4"/>
                    <w:bottom w:val="single" w:color="000000" w:sz="4"/>
                    <w:right w:val="single" w:color="000000" w:sz="4"/>
                  </w:tcBorders>
                </w:tcPr>
                <w:p/>
              </w:tc>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猪瘟</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5万</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头份</w:t>
                  </w:r>
                </w:p>
              </w:tc>
              <w:tc>
                <w:tcPr>
                  <w:tcW w:type="dxa" w:w="650"/>
                  <w:vMerge/>
                  <w:tcBorders>
                    <w:top w:val="none" w:color="000000" w:sz="4"/>
                    <w:left w:val="single" w:color="000000" w:sz="4"/>
                    <w:bottom w:val="single" w:color="000000" w:sz="4"/>
                    <w:right w:val="single" w:color="000000" w:sz="4"/>
                  </w:tcBorders>
                </w:tcPr>
                <w:p/>
              </w:tc>
            </w:tr>
            <w:tr>
              <w:tc>
                <w:tcPr>
                  <w:tcW w:type="dxa" w:w="327"/>
                  <w:vMerge/>
                  <w:tcBorders>
                    <w:top w:val="none" w:color="000000" w:sz="4"/>
                    <w:left w:val="single" w:color="000000" w:sz="4"/>
                    <w:bottom w:val="single" w:color="000000" w:sz="4"/>
                    <w:right w:val="single" w:color="000000" w:sz="4"/>
                  </w:tcBorders>
                </w:tcPr>
                <w:p/>
              </w:tc>
              <w:tc>
                <w:tcPr>
                  <w:tcW w:type="dxa" w:w="376"/>
                  <w:vMerge/>
                  <w:tcBorders>
                    <w:top w:val="none" w:color="000000" w:sz="4"/>
                    <w:left w:val="single" w:color="000000" w:sz="4"/>
                    <w:bottom w:val="single" w:color="000000" w:sz="4"/>
                    <w:right w:val="single" w:color="000000" w:sz="4"/>
                  </w:tcBorders>
                </w:tcPr>
                <w:p/>
              </w:tc>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猪兰耳</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2万</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头份</w:t>
                  </w:r>
                </w:p>
              </w:tc>
              <w:tc>
                <w:tcPr>
                  <w:tcW w:type="dxa" w:w="650"/>
                  <w:vMerge/>
                  <w:tcBorders>
                    <w:top w:val="none" w:color="000000" w:sz="4"/>
                    <w:left w:val="single" w:color="000000" w:sz="4"/>
                    <w:bottom w:val="single" w:color="000000" w:sz="4"/>
                    <w:right w:val="single" w:color="000000" w:sz="4"/>
                  </w:tcBorders>
                </w:tcPr>
                <w:p/>
              </w:tc>
            </w:tr>
            <w:tr>
              <w:tc>
                <w:tcPr>
                  <w:tcW w:type="dxa" w:w="327"/>
                  <w:vMerge/>
                  <w:tcBorders>
                    <w:top w:val="none" w:color="000000" w:sz="4"/>
                    <w:left w:val="single" w:color="000000" w:sz="4"/>
                    <w:bottom w:val="single" w:color="000000" w:sz="4"/>
                    <w:right w:val="single" w:color="000000" w:sz="4"/>
                  </w:tcBorders>
                </w:tcPr>
                <w:p/>
              </w:tc>
              <w:tc>
                <w:tcPr>
                  <w:tcW w:type="dxa" w:w="376"/>
                  <w:vMerge/>
                  <w:tcBorders>
                    <w:top w:val="none" w:color="000000" w:sz="4"/>
                    <w:left w:val="single" w:color="000000" w:sz="4"/>
                    <w:bottom w:val="single" w:color="000000" w:sz="4"/>
                    <w:right w:val="single" w:color="000000" w:sz="4"/>
                  </w:tcBorders>
                </w:tcPr>
                <w:p/>
              </w:tc>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狂犬病</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5000</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头份</w:t>
                  </w:r>
                </w:p>
              </w:tc>
              <w:tc>
                <w:tcPr>
                  <w:tcW w:type="dxa" w:w="650"/>
                  <w:vMerge/>
                  <w:tcBorders>
                    <w:top w:val="none" w:color="000000" w:sz="4"/>
                    <w:left w:val="single" w:color="000000" w:sz="4"/>
                    <w:bottom w:val="single" w:color="000000" w:sz="4"/>
                    <w:right w:val="single" w:color="000000" w:sz="4"/>
                  </w:tcBorders>
                </w:tcPr>
                <w:p/>
              </w:tc>
            </w:tr>
            <w:tr>
              <w:tc>
                <w:tcPr>
                  <w:tcW w:type="dxa" w:w="327"/>
                  <w:vMerge/>
                  <w:tcBorders>
                    <w:top w:val="none" w:color="000000" w:sz="4"/>
                    <w:left w:val="single" w:color="000000" w:sz="4"/>
                    <w:bottom w:val="single" w:color="000000" w:sz="4"/>
                    <w:right w:val="single" w:color="000000" w:sz="4"/>
                  </w:tcBorders>
                </w:tcPr>
                <w:p/>
              </w:tc>
              <w:tc>
                <w:tcPr>
                  <w:tcW w:type="dxa" w:w="376"/>
                  <w:vMerge/>
                  <w:tcBorders>
                    <w:top w:val="none" w:color="000000" w:sz="4"/>
                    <w:left w:val="single" w:color="000000" w:sz="4"/>
                    <w:bottom w:val="single" w:color="000000" w:sz="4"/>
                    <w:right w:val="single" w:color="000000" w:sz="4"/>
                  </w:tcBorders>
                </w:tcPr>
                <w:p/>
              </w:tc>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吡喹酮片</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13万</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片</w:t>
                  </w:r>
                </w:p>
              </w:tc>
              <w:tc>
                <w:tcPr>
                  <w:tcW w:type="dxa" w:w="650"/>
                  <w:vMerge/>
                  <w:tcBorders>
                    <w:top w:val="none" w:color="000000" w:sz="4"/>
                    <w:left w:val="single" w:color="000000" w:sz="4"/>
                    <w:bottom w:val="single" w:color="000000" w:sz="4"/>
                    <w:right w:val="single" w:color="000000" w:sz="4"/>
                  </w:tcBorders>
                </w:tcPr>
                <w:p/>
              </w:tc>
            </w:tr>
            <w:tr>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2</w:t>
                  </w:r>
                </w:p>
              </w:tc>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防疫员补助（工资）</w:t>
                  </w:r>
                </w:p>
              </w:tc>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237服务人员配备</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237</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人</w:t>
                  </w:r>
                </w:p>
              </w:tc>
              <w:tc>
                <w:tcPr>
                  <w:tcW w:type="dxa" w:w="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由中央、自治区、市三级财政支付</w:t>
                  </w:r>
                  <w:r>
                    <w:rPr>
                      <w:rFonts w:ascii="仿宋_GB2312" w:hAnsi="仿宋_GB2312" w:cs="仿宋_GB2312" w:eastAsia="仿宋_GB2312"/>
                      <w:sz w:val="21"/>
                      <w:color w:val="000000"/>
                    </w:rPr>
                    <w:t>165.7万元，旗财政匹配95万元（预算内资金）</w:t>
                  </w:r>
                </w:p>
              </w:tc>
            </w:tr>
            <w:tr>
              <w:tc>
                <w:tcPr>
                  <w:tcW w:type="dxa" w:w="3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3</w:t>
                  </w:r>
                </w:p>
              </w:tc>
              <w:tc>
                <w:tcPr>
                  <w:tcW w:type="dxa" w:w="37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防疫物资</w:t>
                  </w:r>
                </w:p>
              </w:tc>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防护服</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1500</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套</w:t>
                  </w:r>
                </w:p>
              </w:tc>
              <w:tc>
                <w:tcPr>
                  <w:tcW w:type="dxa" w:w="65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防疫物资费用</w:t>
                  </w:r>
                  <w:r>
                    <w:rPr>
                      <w:rFonts w:ascii="仿宋_GB2312" w:hAnsi="仿宋_GB2312" w:cs="仿宋_GB2312" w:eastAsia="仿宋_GB2312"/>
                      <w:sz w:val="21"/>
                      <w:color w:val="000000"/>
                    </w:rPr>
                    <w:t>30万元，器械费用5万元，由旗财政支出。</w:t>
                  </w:r>
                  <w:r>
                    <w:rPr>
                      <w:rFonts w:ascii="仿宋_GB2312" w:hAnsi="仿宋_GB2312" w:cs="仿宋_GB2312" w:eastAsia="仿宋_GB2312"/>
                      <w:sz w:val="21"/>
                      <w:color w:val="000000"/>
                    </w:rPr>
                    <w:t>合计</w:t>
                  </w:r>
                  <w:r>
                    <w:rPr>
                      <w:rFonts w:ascii="仿宋_GB2312" w:hAnsi="仿宋_GB2312" w:cs="仿宋_GB2312" w:eastAsia="仿宋_GB2312"/>
                      <w:sz w:val="21"/>
                      <w:color w:val="000000"/>
                    </w:rPr>
                    <w:t>35万元。</w:t>
                  </w:r>
                </w:p>
              </w:tc>
            </w:tr>
            <w:tr>
              <w:tc>
                <w:tcPr>
                  <w:tcW w:type="dxa" w:w="327"/>
                  <w:vMerge/>
                  <w:tcBorders>
                    <w:top w:val="none" w:color="000000" w:sz="4"/>
                    <w:left w:val="single" w:color="000000" w:sz="4"/>
                    <w:bottom w:val="single" w:color="000000" w:sz="4"/>
                    <w:right w:val="single" w:color="000000" w:sz="4"/>
                  </w:tcBorders>
                </w:tcPr>
                <w:p/>
              </w:tc>
              <w:tc>
                <w:tcPr>
                  <w:tcW w:type="dxa" w:w="376"/>
                  <w:vMerge/>
                  <w:tcBorders>
                    <w:top w:val="none" w:color="000000" w:sz="4"/>
                    <w:left w:val="single" w:color="000000" w:sz="4"/>
                    <w:bottom w:val="single" w:color="000000" w:sz="4"/>
                    <w:right w:val="single" w:color="000000" w:sz="4"/>
                  </w:tcBorders>
                </w:tcPr>
                <w:p/>
              </w:tc>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手套</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10000</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双</w:t>
                  </w:r>
                </w:p>
              </w:tc>
              <w:tc>
                <w:tcPr>
                  <w:tcW w:type="dxa" w:w="650"/>
                  <w:vMerge/>
                  <w:tcBorders>
                    <w:top w:val="none" w:color="000000" w:sz="4"/>
                    <w:left w:val="single" w:color="000000" w:sz="4"/>
                    <w:bottom w:val="single" w:color="000000" w:sz="4"/>
                    <w:right w:val="single" w:color="000000" w:sz="4"/>
                  </w:tcBorders>
                </w:tcPr>
                <w:p/>
              </w:tc>
            </w:tr>
            <w:tr>
              <w:tc>
                <w:tcPr>
                  <w:tcW w:type="dxa" w:w="327"/>
                  <w:vMerge/>
                  <w:tcBorders>
                    <w:top w:val="none" w:color="000000" w:sz="4"/>
                    <w:left w:val="single" w:color="000000" w:sz="4"/>
                    <w:bottom w:val="single" w:color="000000" w:sz="4"/>
                    <w:right w:val="single" w:color="000000" w:sz="4"/>
                  </w:tcBorders>
                </w:tcPr>
                <w:p/>
              </w:tc>
              <w:tc>
                <w:tcPr>
                  <w:tcW w:type="dxa" w:w="376"/>
                  <w:vMerge/>
                  <w:tcBorders>
                    <w:top w:val="none" w:color="000000" w:sz="4"/>
                    <w:left w:val="single" w:color="000000" w:sz="4"/>
                    <w:bottom w:val="single" w:color="000000" w:sz="4"/>
                    <w:right w:val="single" w:color="000000" w:sz="4"/>
                  </w:tcBorders>
                </w:tcPr>
                <w:p/>
              </w:tc>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口罩</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10000</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个</w:t>
                  </w:r>
                </w:p>
              </w:tc>
              <w:tc>
                <w:tcPr>
                  <w:tcW w:type="dxa" w:w="650"/>
                  <w:vMerge/>
                  <w:tcBorders>
                    <w:top w:val="none" w:color="000000" w:sz="4"/>
                    <w:left w:val="single" w:color="000000" w:sz="4"/>
                    <w:bottom w:val="single" w:color="000000" w:sz="4"/>
                    <w:right w:val="single" w:color="000000" w:sz="4"/>
                  </w:tcBorders>
                </w:tcPr>
                <w:p/>
              </w:tc>
            </w:tr>
            <w:tr>
              <w:tc>
                <w:tcPr>
                  <w:tcW w:type="dxa" w:w="327"/>
                  <w:vMerge/>
                  <w:tcBorders>
                    <w:top w:val="none" w:color="000000" w:sz="4"/>
                    <w:left w:val="single" w:color="000000" w:sz="4"/>
                    <w:bottom w:val="single" w:color="000000" w:sz="4"/>
                    <w:right w:val="single" w:color="000000" w:sz="4"/>
                  </w:tcBorders>
                </w:tcPr>
                <w:p/>
              </w:tc>
              <w:tc>
                <w:tcPr>
                  <w:tcW w:type="dxa" w:w="376"/>
                  <w:vMerge/>
                  <w:tcBorders>
                    <w:top w:val="none" w:color="000000" w:sz="4"/>
                    <w:left w:val="single" w:color="000000" w:sz="4"/>
                    <w:bottom w:val="single" w:color="000000" w:sz="4"/>
                    <w:right w:val="single" w:color="000000" w:sz="4"/>
                  </w:tcBorders>
                </w:tcPr>
                <w:p/>
              </w:tc>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鞋套</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1000</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双</w:t>
                  </w:r>
                </w:p>
              </w:tc>
              <w:tc>
                <w:tcPr>
                  <w:tcW w:type="dxa" w:w="650"/>
                  <w:vMerge/>
                  <w:tcBorders>
                    <w:top w:val="none" w:color="000000" w:sz="4"/>
                    <w:left w:val="single" w:color="000000" w:sz="4"/>
                    <w:bottom w:val="single" w:color="000000" w:sz="4"/>
                    <w:right w:val="single" w:color="000000" w:sz="4"/>
                  </w:tcBorders>
                </w:tcPr>
                <w:p/>
              </w:tc>
            </w:tr>
            <w:tr>
              <w:tc>
                <w:tcPr>
                  <w:tcW w:type="dxa" w:w="327"/>
                  <w:vMerge/>
                  <w:tcBorders>
                    <w:top w:val="none" w:color="000000" w:sz="4"/>
                    <w:left w:val="single" w:color="000000" w:sz="4"/>
                    <w:bottom w:val="single" w:color="000000" w:sz="4"/>
                    <w:right w:val="single" w:color="000000" w:sz="4"/>
                  </w:tcBorders>
                </w:tcPr>
                <w:p/>
              </w:tc>
              <w:tc>
                <w:tcPr>
                  <w:tcW w:type="dxa" w:w="376"/>
                  <w:vMerge/>
                  <w:tcBorders>
                    <w:top w:val="none" w:color="000000" w:sz="4"/>
                    <w:left w:val="single" w:color="000000" w:sz="4"/>
                    <w:bottom w:val="single" w:color="000000" w:sz="4"/>
                    <w:right w:val="single" w:color="000000" w:sz="4"/>
                  </w:tcBorders>
                </w:tcPr>
                <w:p/>
              </w:tc>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器械（连续注射器）</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474</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支</w:t>
                  </w:r>
                </w:p>
              </w:tc>
              <w:tc>
                <w:tcPr>
                  <w:tcW w:type="dxa" w:w="650"/>
                  <w:vMerge/>
                  <w:tcBorders>
                    <w:top w:val="none" w:color="000000" w:sz="4"/>
                    <w:left w:val="single" w:color="000000" w:sz="4"/>
                    <w:bottom w:val="single" w:color="000000" w:sz="4"/>
                    <w:right w:val="single" w:color="000000" w:sz="4"/>
                  </w:tcBorders>
                </w:tcPr>
                <w:p/>
              </w:tc>
            </w:tr>
            <w:tr>
              <w:tc>
                <w:tcPr>
                  <w:tcW w:type="dxa" w:w="327"/>
                  <w:vMerge/>
                  <w:tcBorders>
                    <w:top w:val="none" w:color="000000" w:sz="4"/>
                    <w:left w:val="single" w:color="000000" w:sz="4"/>
                    <w:bottom w:val="single" w:color="000000" w:sz="4"/>
                    <w:right w:val="single" w:color="000000" w:sz="4"/>
                  </w:tcBorders>
                </w:tcPr>
                <w:p/>
              </w:tc>
              <w:tc>
                <w:tcPr>
                  <w:tcW w:type="dxa" w:w="376"/>
                  <w:vMerge/>
                  <w:tcBorders>
                    <w:top w:val="none" w:color="000000" w:sz="4"/>
                    <w:left w:val="single" w:color="000000" w:sz="4"/>
                    <w:bottom w:val="single" w:color="000000" w:sz="4"/>
                    <w:right w:val="single" w:color="000000" w:sz="4"/>
                  </w:tcBorders>
                </w:tcPr>
                <w:p/>
              </w:tc>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消毒剂</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15</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吨</w:t>
                  </w:r>
                </w:p>
              </w:tc>
              <w:tc>
                <w:tcPr>
                  <w:tcW w:type="dxa" w:w="650"/>
                  <w:vMerge/>
                  <w:tcBorders>
                    <w:top w:val="none" w:color="000000" w:sz="4"/>
                    <w:left w:val="single" w:color="000000" w:sz="4"/>
                    <w:bottom w:val="single" w:color="000000" w:sz="4"/>
                    <w:right w:val="single" w:color="000000" w:sz="4"/>
                  </w:tcBorders>
                </w:tcPr>
                <w:p/>
              </w:tc>
            </w:tr>
            <w:tr>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4</w:t>
                  </w:r>
                </w:p>
              </w:tc>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集中消毒</w:t>
                  </w:r>
                </w:p>
              </w:tc>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集中消毒灭源</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30618</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w:t>
                  </w:r>
                </w:p>
              </w:tc>
              <w:tc>
                <w:tcPr>
                  <w:tcW w:type="dxa" w:w="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30万元</w:t>
                  </w:r>
                </w:p>
              </w:tc>
            </w:tr>
            <w:tr>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5</w:t>
                  </w:r>
                </w:p>
              </w:tc>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流调</w:t>
                  </w:r>
                </w:p>
              </w:tc>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入户流调</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1.7万</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户</w:t>
                  </w:r>
                </w:p>
              </w:tc>
              <w:tc>
                <w:tcPr>
                  <w:tcW w:type="dxa" w:w="65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24万元</w:t>
                  </w:r>
                </w:p>
              </w:tc>
            </w:tr>
            <w:tr>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6</w:t>
                  </w:r>
                </w:p>
              </w:tc>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采样</w:t>
                  </w:r>
                </w:p>
              </w:tc>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免疫抗体监测和布病检测采样</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6.9万</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份</w:t>
                  </w:r>
                </w:p>
              </w:tc>
              <w:tc>
                <w:tcPr>
                  <w:tcW w:type="dxa" w:w="650"/>
                  <w:vMerge/>
                  <w:tcBorders>
                    <w:top w:val="none" w:color="000000" w:sz="4"/>
                    <w:left w:val="single" w:color="000000" w:sz="4"/>
                    <w:bottom w:val="single" w:color="000000" w:sz="4"/>
                    <w:right w:val="single" w:color="000000" w:sz="4"/>
                  </w:tcBorders>
                </w:tcPr>
                <w:p/>
              </w:tc>
            </w:tr>
            <w:tr>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7</w:t>
                  </w:r>
                </w:p>
              </w:tc>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协助检疫</w:t>
                  </w:r>
                </w:p>
              </w:tc>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协助流通环节检疫和监督</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120万</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只</w:t>
                  </w:r>
                </w:p>
              </w:tc>
              <w:tc>
                <w:tcPr>
                  <w:tcW w:type="dxa" w:w="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12万元</w:t>
                  </w:r>
                </w:p>
              </w:tc>
            </w:tr>
            <w:tr>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8</w:t>
                  </w:r>
                </w:p>
              </w:tc>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培训</w:t>
                  </w:r>
                </w:p>
              </w:tc>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防疫员技能培训</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711</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人次</w:t>
                  </w:r>
                </w:p>
              </w:tc>
              <w:tc>
                <w:tcPr>
                  <w:tcW w:type="dxa" w:w="65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10万元</w:t>
                  </w:r>
                </w:p>
              </w:tc>
            </w:tr>
            <w:tr>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9</w:t>
                  </w:r>
                </w:p>
              </w:tc>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宣传</w:t>
                  </w:r>
                </w:p>
              </w:tc>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印制宣传资料和发放</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5000</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本</w:t>
                  </w:r>
                </w:p>
              </w:tc>
              <w:tc>
                <w:tcPr>
                  <w:tcW w:type="dxa" w:w="650"/>
                  <w:vMerge/>
                  <w:tcBorders>
                    <w:top w:val="none" w:color="000000" w:sz="4"/>
                    <w:left w:val="single" w:color="000000" w:sz="4"/>
                    <w:bottom w:val="single" w:color="000000" w:sz="4"/>
                    <w:right w:val="single" w:color="000000" w:sz="4"/>
                  </w:tcBorders>
                </w:tcPr>
                <w:p/>
              </w:tc>
            </w:tr>
            <w:tr>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10</w:t>
                  </w:r>
                </w:p>
              </w:tc>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应急物资储备费用</w:t>
                  </w:r>
                </w:p>
              </w:tc>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color w:val="000000"/>
                    </w:rPr>
                    <w:t>应急物资储备（处置突发疫情所需物资）</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w:t>
                  </w:r>
                </w:p>
              </w:tc>
              <w:tc>
                <w:tcPr>
                  <w:tcW w:type="dxa" w:w="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20万元</w:t>
                  </w:r>
                </w:p>
              </w:tc>
            </w:tr>
            <w:tr>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11</w:t>
                  </w:r>
                </w:p>
              </w:tc>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兽医社会化服务管理经费</w:t>
                  </w:r>
                </w:p>
              </w:tc>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color w:val="000000"/>
                    </w:rPr>
                    <w:t>用于乡镇兽医站、防疫员绩效管理及开展兽医社会化服务相关工作</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覆盖</w:t>
                  </w:r>
                  <w:r>
                    <w:rPr>
                      <w:rFonts w:ascii="仿宋_GB2312" w:hAnsi="仿宋_GB2312" w:cs="仿宋_GB2312" w:eastAsia="仿宋_GB2312"/>
                      <w:sz w:val="21"/>
                      <w:color w:val="000000"/>
                    </w:rPr>
                    <w:t>14个乡镇</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 xml:space="preserve">      </w:t>
                  </w:r>
                  <w:r>
                    <w:rPr>
                      <w:rFonts w:ascii="仿宋_GB2312" w:hAnsi="仿宋_GB2312" w:cs="仿宋_GB2312" w:eastAsia="仿宋_GB2312"/>
                      <w:sz w:val="21"/>
                    </w:rPr>
                    <w:t>个</w:t>
                  </w:r>
                </w:p>
              </w:tc>
              <w:tc>
                <w:tcPr>
                  <w:tcW w:type="dxa" w:w="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color w:val="000000"/>
                    </w:rPr>
                    <w:t>每个乡镇苏木</w:t>
                  </w:r>
                  <w:r>
                    <w:rPr>
                      <w:rFonts w:ascii="仿宋_GB2312" w:hAnsi="仿宋_GB2312" w:cs="仿宋_GB2312" w:eastAsia="仿宋_GB2312"/>
                      <w:sz w:val="21"/>
                      <w:color w:val="000000"/>
                    </w:rPr>
                    <w:t>1.5万元</w:t>
                  </w: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1</w:t>
                  </w:r>
                  <w:r>
                    <w:rPr>
                      <w:rFonts w:ascii="仿宋_GB2312" w:hAnsi="仿宋_GB2312" w:cs="仿宋_GB2312" w:eastAsia="仿宋_GB2312"/>
                      <w:sz w:val="21"/>
                      <w:color w:val="000000"/>
                    </w:rPr>
                    <w:t>万元</w:t>
                  </w:r>
                </w:p>
              </w:tc>
            </w:tr>
          </w:tbl>
          <w:p>
            <w:pPr>
              <w:pStyle w:val="null5"/>
              <w:jc w:val="both"/>
            </w:pPr>
            <w:r>
              <w:rPr>
                <w:rFonts w:ascii="仿宋_GB2312" w:hAnsi="仿宋_GB2312" w:cs="仿宋_GB2312" w:eastAsia="仿宋_GB2312"/>
                <w:sz w:val="21"/>
                <w:b/>
              </w:rPr>
              <w:t>六、违约责任。</w:t>
            </w:r>
          </w:p>
          <w:p>
            <w:pPr>
              <w:pStyle w:val="null5"/>
              <w:ind w:firstLine="420"/>
              <w:jc w:val="both"/>
            </w:pPr>
            <w:r>
              <w:rPr>
                <w:rFonts w:ascii="仿宋_GB2312" w:hAnsi="仿宋_GB2312" w:cs="仿宋_GB2312" w:eastAsia="仿宋_GB2312"/>
                <w:sz w:val="21"/>
              </w:rPr>
              <w:t>承接主体因故不能完成兽医社会化服务工作的，终止合同，承担相应的经济责任，不予拨付相关费用。由属地政府完成后续社会化服务工作，费用从购买经费中支出。承接主体因工作不到位引发疫情扩散蔓延，按照相关法律法规承担相应的法律责任和经济损失。</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其中由评审专家库产生的评审专家4人，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1661"/>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10.00%</w:t>
            </w:r>
          </w:p>
        </w:tc>
        <w:tc>
          <w:tcPr>
            <w:tcW w:type="dxa" w:w="1661"/>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5"/>
              <w:jc w:val="left"/>
            </w:pPr>
            <w:r>
              <w:rPr>
                <w:rFonts w:ascii="仿宋_GB2312" w:hAnsi="仿宋_GB2312" w:cs="仿宋_GB2312" w:eastAsia="仿宋_GB2312"/>
              </w:rPr>
              <w:t>目录 封面</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项目实施方案</w:t>
            </w:r>
          </w:p>
        </w:tc>
        <w:tc>
          <w:tcPr>
            <w:tcW w:type="dxa" w:w="3115"/>
          </w:tcPr>
          <w:p>
            <w:pPr>
              <w:pStyle w:val="null5"/>
              <w:jc w:val="left"/>
            </w:pPr>
            <w:r>
              <w:rPr>
                <w:rFonts w:ascii="仿宋_GB2312" w:hAnsi="仿宋_GB2312" w:cs="仿宋_GB2312" w:eastAsia="仿宋_GB2312"/>
              </w:rPr>
              <w:t>技术服务实施计划和疫病整体研究等保证措施、专业技术人员配备、服务标准、疫病诊断、检测及时准确性、疫病防控和建立诊疗体系等方面方案完整、符合社会化服务的需要。 内容全面、详细得0-4分；条理清晰、合理性强得0-4分；针对性强，关于上述内容有具体细节描述得0-4分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服务质量管理措施</w:t>
            </w:r>
          </w:p>
        </w:tc>
        <w:tc>
          <w:tcPr>
            <w:tcW w:type="dxa" w:w="3115"/>
          </w:tcPr>
          <w:p>
            <w:pPr>
              <w:pStyle w:val="null5"/>
              <w:jc w:val="left"/>
            </w:pPr>
            <w:r>
              <w:rPr>
                <w:rFonts w:ascii="仿宋_GB2312" w:hAnsi="仿宋_GB2312" w:cs="仿宋_GB2312" w:eastAsia="仿宋_GB2312"/>
              </w:rPr>
              <w:t>供应商根据本项目需求提供服务质量管理措施和疫情检测手段。 内容全面、详细得0-3分；条理清晰、合理性强得0-3分；针对性强，关于上述内容有具体细节描述得0-4分。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需求分析</w:t>
            </w:r>
          </w:p>
        </w:tc>
        <w:tc>
          <w:tcPr>
            <w:tcW w:type="dxa" w:w="3115"/>
          </w:tcPr>
          <w:p>
            <w:pPr>
              <w:pStyle w:val="null5"/>
              <w:jc w:val="left"/>
            </w:pPr>
            <w:r>
              <w:rPr>
                <w:rFonts w:ascii="仿宋_GB2312" w:hAnsi="仿宋_GB2312" w:cs="仿宋_GB2312" w:eastAsia="仿宋_GB2312"/>
              </w:rPr>
              <w:t>对本项目的技术服务需求、科研需求、可靠性和可用性需求、兽医社会化服务的必要性进行评审； 内容全面、详细得0-3分；条理清晰、合理性强得0-3分；针对性强，关于上述内容有具体细节描述得0-4分。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项目进度计划</w:t>
            </w:r>
          </w:p>
        </w:tc>
        <w:tc>
          <w:tcPr>
            <w:tcW w:type="dxa" w:w="3115"/>
          </w:tcPr>
          <w:p>
            <w:pPr>
              <w:pStyle w:val="null5"/>
              <w:jc w:val="left"/>
            </w:pPr>
            <w:r>
              <w:rPr>
                <w:rFonts w:ascii="仿宋_GB2312" w:hAnsi="仿宋_GB2312" w:cs="仿宋_GB2312" w:eastAsia="仿宋_GB2312"/>
              </w:rPr>
              <w:t>进度安排科学合理，与服务能力相匹配，列出具体的时间表、进度图，并且能够按照进度计划完成本项目。内容全面、详细得0-3分；条理清晰、合理性强得0-3分；针对性强，关于上述内容有具体细节描述得0-4分。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防疫员管理</w:t>
            </w:r>
          </w:p>
        </w:tc>
        <w:tc>
          <w:tcPr>
            <w:tcW w:type="dxa" w:w="3115"/>
          </w:tcPr>
          <w:p>
            <w:pPr>
              <w:pStyle w:val="null5"/>
              <w:jc w:val="left"/>
            </w:pPr>
            <w:r>
              <w:rPr>
                <w:rFonts w:ascii="仿宋_GB2312" w:hAnsi="仿宋_GB2312" w:cs="仿宋_GB2312" w:eastAsia="仿宋_GB2312"/>
              </w:rPr>
              <w:t>根据供应商针对本项目提供的防疫人员管理制度、防疫人员专业培训计划（培训方式、培训内容）进行综合评审； 内容全面、详细得0-3分；条理清晰、合理性强得0-3分；针对性强，关于上述内容有具体细节描述得0-4分。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应急管理预案及措施</w:t>
            </w:r>
          </w:p>
        </w:tc>
        <w:tc>
          <w:tcPr>
            <w:tcW w:type="dxa" w:w="3115"/>
          </w:tcPr>
          <w:p>
            <w:pPr>
              <w:pStyle w:val="null5"/>
              <w:jc w:val="left"/>
            </w:pPr>
            <w:r>
              <w:rPr>
                <w:rFonts w:ascii="仿宋_GB2312" w:hAnsi="仿宋_GB2312" w:cs="仿宋_GB2312" w:eastAsia="仿宋_GB2312"/>
              </w:rPr>
              <w:t>根据供应商服务期间发生的突发事件预案及有效的处理措施进行综合评定：内容全面、详细得0-3分；条理清晰、合理性强得0-3分；针对性强，关于上述内容有具体细节描述得0-4分。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售后服务承诺</w:t>
            </w:r>
          </w:p>
        </w:tc>
        <w:tc>
          <w:tcPr>
            <w:tcW w:type="dxa" w:w="3115"/>
          </w:tcPr>
          <w:p>
            <w:pPr>
              <w:pStyle w:val="null5"/>
              <w:jc w:val="left"/>
            </w:pPr>
            <w:r>
              <w:rPr>
                <w:rFonts w:ascii="仿宋_GB2312" w:hAnsi="仿宋_GB2312" w:cs="仿宋_GB2312" w:eastAsia="仿宋_GB2312"/>
              </w:rPr>
              <w:t>为达到防疫的质量效果并能够产生良好的社会效益，供应商根据甲方需求并结合自身能力提供针对本项目的售后服务承诺（包括但不限于①售后服务内容②服务流程③响应及处置时间④回访计划）进行综合评定； 内容全面、详细得0-3分；条理清晰、合理性强得0-3分；针对性强，关于上述内容有具体细节描述得0-2分。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项目管理机构设置</w:t>
            </w:r>
          </w:p>
        </w:tc>
        <w:tc>
          <w:tcPr>
            <w:tcW w:type="dxa" w:w="3115"/>
          </w:tcPr>
          <w:p>
            <w:pPr>
              <w:pStyle w:val="null5"/>
              <w:jc w:val="left"/>
            </w:pPr>
            <w:r>
              <w:rPr>
                <w:rFonts w:ascii="仿宋_GB2312" w:hAnsi="仿宋_GB2312" w:cs="仿宋_GB2312" w:eastAsia="仿宋_GB2312"/>
              </w:rPr>
              <w:t>拟派项目人员具有兽医相关执业资格证书的每个加2分，本项最多10分(以证书扫描件为准)。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供应商提供2022年1月1日至今已完成的与本项目类似的项目业绩，每项得2分，最多得10分。（提供合同扫描件或中标通知书）</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