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丰镇市黑土台镇曹家洼村到问城村道路硬化工程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丰镇市黑土台镇人民政府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内蒙古融泰工程项目管理有限公司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WSZCFZS-C-G-250007</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内蒙古融泰工程项目管理有限公司</w:t>
      </w:r>
      <w:r>
        <w:rPr>
          <w:rFonts w:ascii="仿宋_GB2312" w:hAnsi="仿宋_GB2312" w:cs="仿宋_GB2312" w:eastAsia="仿宋_GB2312"/>
        </w:rPr>
        <w:t xml:space="preserve"> 受 </w:t>
      </w:r>
      <w:r>
        <w:rPr>
          <w:rFonts w:ascii="仿宋_GB2312" w:hAnsi="仿宋_GB2312" w:cs="仿宋_GB2312" w:eastAsia="仿宋_GB2312"/>
        </w:rPr>
        <w:t>丰镇市黑土台镇人民政府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丰镇市黑土台镇曹家洼村到问城村道路硬化工程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丰镇市黑土台镇曹家洼村到问城村道路硬化工程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WSZCFZS-C-G-250007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乌政采计划[2025]丰镇00025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626,217.00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丰镇市黑土台镇曹家洼村到问城村道路硬化工程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626,217.00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1、企业资质：投标人须具备建设行政主管部门核发的市政公用工程施工总承包三级及以上(有效期内)资质证书且具有有效的安全生产许可证。</w:t>
      </w:r>
    </w:p>
    <w:p>
      <w:pPr>
        <w:pStyle w:val="null5"/>
        <w:jc w:val="left"/>
      </w:pPr>
      <w:r>
        <w:rPr>
          <w:rFonts w:ascii="仿宋_GB2312" w:hAnsi="仿宋_GB2312" w:cs="仿宋_GB2312" w:eastAsia="仿宋_GB2312"/>
        </w:rPr>
        <w:t>2、资格要求：投标人拟派项目经理须是本企业注册具有市政公用工程专业贰级(含贰级)以上注册建造师资格证及有效的安全生产考核合格证。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内蒙古融泰工程项目管理有限公司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内蒙古自治区乌兰察布市集宁区杜尔伯特大街东侧地矿家园G1栋-商业-105</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刘汉武</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18648653888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丰镇市黑土台镇人民政府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丰镇市黑土台镇二十八号村</w:t>
      </w:r>
    </w:p>
    <w:p>
      <w:pPr>
        <w:pStyle w:val="null5"/>
      </w:pPr>
      <w:r>
        <w:rPr>
          <w:rFonts w:ascii="仿宋_GB2312" w:hAnsi="仿宋_GB2312" w:cs="仿宋_GB2312" w:eastAsia="仿宋_GB2312"/>
        </w:rPr>
        <w:t xml:space="preserve"> 邮编： </w:t>
      </w:r>
      <w:r>
        <w:rPr>
          <w:rFonts w:ascii="仿宋_GB2312" w:hAnsi="仿宋_GB2312" w:cs="仿宋_GB2312" w:eastAsia="仿宋_GB2312"/>
        </w:rPr>
        <w:t>012100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赵俊芳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13514842052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采购包1保证金金额：12,000.00元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丰镇市黑土台镇人民政府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内蒙古融泰工程项目管理有限公司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丰镇市黑土台镇曹家洼村到问城村道路硬化工程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合同签订后30天内完工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与甲方约定地点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1、具体双方在合同中约定，达到付款条件起30日，支付合同总金额的100.00%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标的名称：丰镇市黑土台镇曹家洼村到问城村道路硬化工程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具体技术参数及性能指标详见附件工程量清单</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企业资质</w:t>
            </w:r>
          </w:p>
        </w:tc>
        <w:tc>
          <w:tcPr>
            <w:tcW w:type="dxa" w:w="4984"/>
          </w:tcPr>
          <w:p>
            <w:pPr>
              <w:pStyle w:val="null5"/>
              <w:jc w:val="left"/>
            </w:pPr>
            <w:r>
              <w:rPr>
                <w:rFonts w:ascii="仿宋_GB2312" w:hAnsi="仿宋_GB2312" w:cs="仿宋_GB2312" w:eastAsia="仿宋_GB2312"/>
              </w:rPr>
              <w:t>投标人须具备建设行政主管部门核发的市政公用工程施工总承包三级及以上(有效期内)资质证书且具有有效的安全生产许可证。</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投标人拟派项目经理须是本企业注册具有市政公用工程专业贰级(含贰级)以上注册建造师资格证及有效的安全生产考核合格证。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施工技术方案</w:t>
            </w:r>
          </w:p>
        </w:tc>
        <w:tc>
          <w:tcPr>
            <w:tcW w:type="dxa" w:w="3115"/>
          </w:tcPr>
          <w:p>
            <w:pPr>
              <w:pStyle w:val="null5"/>
              <w:jc w:val="left"/>
            </w:pPr>
            <w:r>
              <w:rPr>
                <w:rFonts w:ascii="仿宋_GB2312" w:hAnsi="仿宋_GB2312" w:cs="仿宋_GB2312" w:eastAsia="仿宋_GB2312"/>
              </w:rPr>
              <w:t>根据提供的施工组织设计方案整体编制进行综合评审;施工技术方案编制 合理、部署全面、内容具体详实且针对性强，可按照施工技术方案编制内容高效有序的组织项目实施的，得8(含)-10分，施工技术方案编制内容与实际采购项目相符，编制内容能够保证项目的正常实施的，得4(含)-8分，施工技术方案编制内容相对简单，存在项目实施进度缓慢的，得1(含)-4分，施工技术方案不合理的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根据提供的施工进度计划进行综合评审;施工进度计划与工序搭配逻辑关 系和关键线路清晰、合理，进度内容全面针对性强，能够高效有序引导施 工开展的，得7(含)-9分，施工进度计划可行，能够正常引导施工开展的，得4(含)-7分，施工进度计划编制简单，工序搭配逻辑关系阐述不够清 晰的得1(含)-4分，施工进度计划不合理或未提供施工进度计划的，不得分。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根据提供的质量保证措施进行综合评审;质量保证方案具体、完整，保证措施完善、先进且针对性强的得7(含)-9分，质量保证方案可行，保证措施描述合理的得4(含)-7分，质量保证方案描述简单，保证措施不够详细 的得1(含)-4分，质量保证方室和保证措施不合理或未提供的，不得分。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安全施工保证措施</w:t>
            </w:r>
          </w:p>
        </w:tc>
        <w:tc>
          <w:tcPr>
            <w:tcW w:type="dxa" w:w="3115"/>
          </w:tcPr>
          <w:p>
            <w:pPr>
              <w:pStyle w:val="null5"/>
              <w:jc w:val="left"/>
            </w:pPr>
            <w:r>
              <w:rPr>
                <w:rFonts w:ascii="仿宋_GB2312" w:hAnsi="仿宋_GB2312" w:cs="仿宋_GB2312" w:eastAsia="仿宋_GB2312"/>
              </w:rPr>
              <w:t>根据提供的安全施工保证措施进行综合评审;安全施工方案具体、完整， 保证措施完善、先进且针对性强的得7(含)-9分，安全施工方案可行，保证措施描述合理的得4(含)-7分，安全施工方案描述简单，保证措施不够详细的得1(含)-4分，安全施工方案和保证措施不合理或未提供的，不得 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环境保护管理措施</w:t>
            </w:r>
          </w:p>
        </w:tc>
        <w:tc>
          <w:tcPr>
            <w:tcW w:type="dxa" w:w="3115"/>
          </w:tcPr>
          <w:p>
            <w:pPr>
              <w:pStyle w:val="null5"/>
              <w:jc w:val="left"/>
            </w:pPr>
            <w:r>
              <w:rPr>
                <w:rFonts w:ascii="仿宋_GB2312" w:hAnsi="仿宋_GB2312" w:cs="仿宋_GB2312" w:eastAsia="仿宋_GB2312"/>
              </w:rPr>
              <w:t>根据提供的环境保护管理措施进行综合评审;环墇保护管理方案具体、完 整，保证措施先进目针对性强的得7(含)-9分，环境保护管理方案可行， 保证措施描述合理的4(含)-7分，环境保护管理方案描述简单，保证措施,不够详实的1(含)-4分，环境保护管理措施不合理或未提供的，不得分。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资源配置计划</w:t>
            </w:r>
          </w:p>
        </w:tc>
        <w:tc>
          <w:tcPr>
            <w:tcW w:type="dxa" w:w="3115"/>
          </w:tcPr>
          <w:p>
            <w:pPr>
              <w:pStyle w:val="null5"/>
              <w:jc w:val="left"/>
            </w:pPr>
            <w:r>
              <w:rPr>
                <w:rFonts w:ascii="仿宋_GB2312" w:hAnsi="仿宋_GB2312" w:cs="仿宋_GB2312" w:eastAsia="仿宋_GB2312"/>
              </w:rPr>
              <w:t>根据提供的资源配备计划进行综合评审;施工机械、劳动力安排搭配合理 与施工进度计划呼应，完全满足施工要求，能够保证施工高效有序开展的 得7(含)-9分，施工机械、劳动力安排可行、数量搭配合理，能够保证施,工正常开展的得4(含)-7分，施工机械、劳动力安排计划过于简单存在项,目实施进度缓慢的1(含)-4分，施工机械，劳动力安排计划不合理或未提 供的，不得分。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近年【2021年-至今】提供市政公用工程已完工的项目业绩，有一项加1.5分，最多得9分。(注:以中标通知书和施工合同为依据）</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拟派项目管理班子人员结构合理、专业配备齐全(需提供相应的资格证书)最多得6分，每缺少一员(施工员、资料员、安全员、材料员，质量员、预算员)扣1分，扣完为止。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