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乌兰浩特“五好两宜和美乡村”方案编制咨询服务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乌兰浩特市乌兰哈达镇人民政府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兴安盟颐诺项目管理有限公司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152201-XAMYN-CS-20250001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兴安盟颐诺项目管理有限公司</w:t>
      </w:r>
      <w:r>
        <w:rPr>
          <w:rFonts w:ascii="仿宋_GB2312" w:hAnsi="仿宋_GB2312" w:cs="仿宋_GB2312" w:eastAsia="仿宋_GB2312"/>
        </w:rPr>
        <w:t xml:space="preserve"> 受 </w:t>
      </w:r>
      <w:r>
        <w:rPr>
          <w:rFonts w:ascii="仿宋_GB2312" w:hAnsi="仿宋_GB2312" w:cs="仿宋_GB2312" w:eastAsia="仿宋_GB2312"/>
        </w:rPr>
        <w:t>乌兰浩特市乌兰哈达镇人民政府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乌兰浩特“五好两宜和美乡村”方案编制咨询服务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乌兰浩特“五好两宜和美乡村”方案编制咨询服务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152201-XAMYN-CS-20250001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乌财购计划[2025]00282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乌兰浩特“五好两宜和美乡村”方案编制咨询服务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兴安盟颐诺项目管理有限公司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内蒙古自治区兴安盟乌兰浩特市和平办事处御府苑小区5号综合楼6号商业2-24-367-6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刘丽娟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13948266749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乌兰浩特市乌兰哈达镇人民政府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内蒙古自治区兴安盟乌兰浩特市和平办事处御府苑小区5号综合楼6号商业</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赵帅</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04828820331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代理服务费收费标准：15500</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乌兰浩特市乌兰哈达镇人民政府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兴安盟颐诺项目管理有限公司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普兰店区“五好两宜和美乡村”项目全过程管理咨询，为项目实施赋能。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按合同约定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1、签订合同后，达到付款条件起7日，支付合同总金额的70.00%</w:t>
            </w:r>
          </w:p>
          <w:p>
            <w:pPr>
              <w:pStyle w:val="null5"/>
              <w:jc w:val="left"/>
            </w:pPr>
            <w:r>
              <w:rPr>
                <w:rFonts w:ascii="仿宋_GB2312" w:hAnsi="仿宋_GB2312" w:cs="仿宋_GB2312" w:eastAsia="仿宋_GB2312"/>
              </w:rPr>
              <w:t>2、服务完成，通过验收后，达到付款条件起7日，支付合同总金额的30.00%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标的名称：乌兰浩特“五好两宜和美乡村”方案编制咨询服务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符合国家及行业标准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注：截至项目评审开始前，经“信用中国”网站（www.creditchina.gov.cn）、“信用辽宁”网站（www.lncredit.gov.cn）失信黑名单、“信用大连”（credit.dl.cn）大连市重大税收违法案件信息公示平台、“中国政府采购网”网站（www.ccgp.gov.cn）政府采购严重违法失信行为信息记录，被列入失信被执行人、重大税收违法案件当事人名单、政府采购严重违法失信行为记录名单的不得参加本采购项目。（需附截图）</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商务部分40.00分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针对本项目的详细服务方案</w:t>
            </w:r>
          </w:p>
        </w:tc>
        <w:tc>
          <w:tcPr>
            <w:tcW w:type="dxa" w:w="3115"/>
          </w:tcPr>
          <w:p>
            <w:pPr>
              <w:pStyle w:val="null5"/>
              <w:jc w:val="left"/>
            </w:pPr>
            <w:r>
              <w:rPr>
                <w:rFonts w:ascii="仿宋_GB2312" w:hAnsi="仿宋_GB2312" w:cs="仿宋_GB2312" w:eastAsia="仿宋_GB2312"/>
              </w:rPr>
              <w:t>①紧扣绩效评价指标体系，工作方案科学严谨，内容详尽，主旨明确，针对性很强，预期效果好，得25-30 分；工作方案内容较全，针对性良好，基本能完成工作目标，得 20-24 分；工作方案内容一般，存在缺项漏项或明显不符合技术要求的，得5-19 分； ②依据本项目服务工作的熟悉程度、服务方案的可操作性，完善、合理、可行：得4-5分；基本可行：得2-3分；不完整，可行性低：0-1分； ③依据服务方案所体现出的专业化程度，完善、合理、可行：得4-5分；基本可行：得2-3 分；不完整，可行性低：0-1分； ④依据服务重点、难点，分析及解决问题措施的科学性，完善、合理、可行：得4-5 分；基本可行：得 2-3分；不完整，可行性低：得 0-1分。</w:t>
            </w:r>
          </w:p>
        </w:tc>
        <w:tc>
          <w:tcPr>
            <w:tcW w:type="dxa" w:w="1038"/>
          </w:tcPr>
          <w:p>
            <w:pPr>
              <w:pStyle w:val="null5"/>
              <w:jc w:val="right"/>
            </w:pPr>
            <w:r>
              <w:rPr>
                <w:rFonts w:ascii="仿宋_GB2312" w:hAnsi="仿宋_GB2312" w:cs="仿宋_GB2312" w:eastAsia="仿宋_GB2312"/>
              </w:rPr>
              <w:t>45.00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工作质量控制机制</w:t>
            </w:r>
          </w:p>
        </w:tc>
        <w:tc>
          <w:tcPr>
            <w:tcW w:type="dxa" w:w="3115"/>
          </w:tcPr>
          <w:p>
            <w:pPr>
              <w:pStyle w:val="null5"/>
              <w:jc w:val="left"/>
            </w:pPr>
            <w:r>
              <w:rPr>
                <w:rFonts w:ascii="仿宋_GB2312" w:hAnsi="仿宋_GB2312" w:cs="仿宋_GB2312" w:eastAsia="仿宋_GB2312"/>
              </w:rPr>
              <w:t>依据本项目需具备的管理制度、制度内容完善、可操作性强（包括工作制度、内控制度、考核机制、财务管理制度、人事管理制度、档案管理制度、保密制度、廉洁制度）投标人各项制度全面完整优得4-5分，良好得3分，一般得1-2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人员配置及专业结构</w:t>
            </w:r>
          </w:p>
        </w:tc>
        <w:tc>
          <w:tcPr>
            <w:tcW w:type="dxa" w:w="3115"/>
          </w:tcPr>
          <w:p>
            <w:pPr>
              <w:pStyle w:val="null5"/>
              <w:jc w:val="left"/>
            </w:pPr>
            <w:r>
              <w:rPr>
                <w:rFonts w:ascii="仿宋_GB2312" w:hAnsi="仿宋_GB2312" w:cs="仿宋_GB2312" w:eastAsia="仿宋_GB2312"/>
              </w:rPr>
              <w:t>（1）项目负责人具有硕士及以上学历和高级职称的得3分，不提供则不得分； （2）拟投入本项目的人员中每有一个注册会计师或中级及以上专业技术资格的得2分（须提供专业技术资格证书及公司购买社保记录）（满分6分）； （3）拟投入本项目的人员中每有一个绩效评价师资格证书的得2分（须提供专业技术资格证书及公司购买社保记录）（满分6分）。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投标人综合实力</w:t>
            </w:r>
          </w:p>
        </w:tc>
        <w:tc>
          <w:tcPr>
            <w:tcW w:type="dxa" w:w="3115"/>
          </w:tcPr>
          <w:p>
            <w:pPr>
              <w:pStyle w:val="null5"/>
              <w:jc w:val="left"/>
            </w:pPr>
            <w:r>
              <w:rPr>
                <w:rFonts w:ascii="仿宋_GB2312" w:hAnsi="仿宋_GB2312" w:cs="仿宋_GB2312" w:eastAsia="仿宋_GB2312"/>
              </w:rPr>
              <w:t>（1）投标人有专家支持系统，提供专家支持系统佐证材料，每提供一份得2分，本项最高得4分（与高校、科研院所等单位签订的专家支撑合作协议）； （2）投标人（企业员工）发表过绩效评价相关文章书籍（提供文章发表截图或书籍封面），每提供一份得1分。满分2分； （3）投标人进行过省级单位绩效评价培训相关案例（提供培训证明图片及培训内容简介），每提供一份得1分，满分3分。 （4）财政部平台绩效评价第三方入围单位证明（提供“财政部预算绩效评价第三方机构信用管理平台”截图），得1分。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投标业绩</w:t>
            </w:r>
          </w:p>
        </w:tc>
        <w:tc>
          <w:tcPr>
            <w:tcW w:type="dxa" w:w="3115"/>
          </w:tcPr>
          <w:p>
            <w:pPr>
              <w:pStyle w:val="null5"/>
              <w:jc w:val="left"/>
            </w:pPr>
            <w:r>
              <w:rPr>
                <w:rFonts w:ascii="仿宋_GB2312" w:hAnsi="仿宋_GB2312" w:cs="仿宋_GB2312" w:eastAsia="仿宋_GB2312"/>
              </w:rPr>
              <w:t>投标人近3年承接过类似实施方案编制业绩，每有一个得3分，最高得15分。 注：提供合同或中标（成交）通知书扫描件，未提供不得分；时间以中标通知书发放时间或合同签署时间为准。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