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乌兰浩特市2025年“防贫保险”项目(二次)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乌兰浩特市农牧和科技局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内蒙古鸿信工程项目管理有限公司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152201-HXZB-CS-20250001-1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内蒙古鸿信工程项目管理有限公司</w:t>
      </w:r>
      <w:r>
        <w:rPr>
          <w:rFonts w:ascii="仿宋_GB2312" w:hAnsi="仿宋_GB2312" w:cs="仿宋_GB2312" w:eastAsia="仿宋_GB2312"/>
        </w:rPr>
        <w:t xml:space="preserve"> 受 </w:t>
      </w:r>
      <w:r>
        <w:rPr>
          <w:rFonts w:ascii="仿宋_GB2312" w:hAnsi="仿宋_GB2312" w:cs="仿宋_GB2312" w:eastAsia="仿宋_GB2312"/>
        </w:rPr>
        <w:t>乌兰浩特市农牧和科技局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乌兰浩特市2025年“防贫保险”项目(二次)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乌兰浩特市2025年“防贫保险”项目(二次)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152201-HXZB-CS-20250001-1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乌财购计划[2025]00193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674,000.00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乌兰浩特市2025年“防贫保险”项目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674,000.00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1、特定资格要求：投标人须具有相关主管部门颁发的且在有效期内的《经营保险业务许可证》； 供应商须为总公司或其授权的分支机构，但属于同一独立法人资格的保险公司只能由其法人机构自身或其中一家分支机构参与本项目。若以分支机构名义参与投标，则必须提交该分支机构的营业执照副本，并附上总公司授权其参与本项目投标及履行合同义务的授权文件，明确总公司愿意对分支机构的行为承担相应的民事责任。此外，还需提供总公司的《经营保险业务许可证》的原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内蒙古鸿信工程项目管理有限公司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内蒙古自治区兴安盟乌兰浩特市都林街道信合二期8号楼6号商业</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赵荐</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0482-3837777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乌兰浩特市农牧和科技局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乌兰浩特市罕山中街11号</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木图</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13298047556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代理服务费收费标准：参照内蒙古自治区工程建设协会文件 内工建协〔2022〕34号“关于印发《内蒙古自治区建设工程招标代理服务收费指导意见》的通知”计取。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乌兰浩特市农牧和科技局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内蒙古鸿信工程项目管理有限公司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1.采购内容：乌兰浩特市2025年“防贫保险”项目</w:t>
      </w:r>
    </w:p>
    <w:p>
      <w:pPr>
        <w:pStyle w:val="null5"/>
        <w:jc w:val="left"/>
      </w:pPr>
      <w:r>
        <w:rPr>
          <w:rFonts w:ascii="仿宋_GB2312" w:hAnsi="仿宋_GB2312" w:cs="仿宋_GB2312" w:eastAsia="仿宋_GB2312"/>
        </w:rPr>
        <w:t>2.主要功能或目标：根据我市实际，坚持防贫保险普惠性、保障性、公益性、法治化和市场化的基本原则，探索构建政府、保险公司、农民（特别是脱贫人口和监测对象）共同参与的防贫保障长效机制，防止农村人口，特别是建档立卡脱贫人口和边缘易致贫人口，因家庭收入减少造成返贫致贫，巩固拓展脱贫攻坚成果，积极推进乡村振兴。</w:t>
      </w:r>
    </w:p>
    <w:p>
      <w:pPr>
        <w:pStyle w:val="null5"/>
        <w:jc w:val="left"/>
      </w:pPr>
      <w:r>
        <w:rPr>
          <w:rFonts w:ascii="仿宋_GB2312" w:hAnsi="仿宋_GB2312" w:cs="仿宋_GB2312" w:eastAsia="仿宋_GB2312"/>
        </w:rPr>
        <w:t>3.需满足的要求：选择有资质的保险公司，与保险公司及时签订合同。一是补差理赔，按脱贫人口2024年11月录入全国防贫监测信息系统脱贫人口人均纯收入平均值标准线。对投保主体因自然灾害疾病、产业失败、意外事故等客观原因造成家庭年人均纯收入低于标准线的，在严格理赔程序的前提下市农牧和科技局统一提出理赔名单、每户理赔差额。 二是随出险随理赔。对投保主体收入因产业损失、自然灾害、意外事故、医疗、家庭财产损失等客观原因造成损失的，按照一定比例给予理赔。</w:t>
      </w:r>
    </w:p>
    <w:p>
      <w:pPr>
        <w:pStyle w:val="null5"/>
        <w:jc w:val="left"/>
      </w:pPr>
      <w:r>
        <w:rPr>
          <w:rFonts w:ascii="仿宋_GB2312" w:hAnsi="仿宋_GB2312" w:cs="仿宋_GB2312" w:eastAsia="仿宋_GB2312"/>
        </w:rPr>
        <w:t>4.政策文件：《内蒙古自治区财政厅 乡村振兴局关于巩固拓展脱贫攻坚成果 建立完善防贫保险制度的指导意见》（内财农函〔2021〕469号）、兴安盟乡村振兴局关于《进一步规范开展防贫保险指导意见》（兴乡振发〔2022〕50号）文件。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1年（自合同签订之日起计算）。</w:t>
            </w:r>
          </w:p>
        </w:tc>
      </w:tr>
      <w:tr>
        <w:tc>
          <w:tcPr>
            <w:tcW w:type="dxa" w:w="2076"/>
          </w:tcPr>
          <w:p>
            <w:pPr>
              <w:pStyle w:val="null5"/>
              <w:jc w:val="left"/>
            </w:pPr>
            <w:r>
              <w:rPr>
                <w:rFonts w:ascii="仿宋_GB2312" w:hAnsi="仿宋_GB2312" w:cs="仿宋_GB2312" w:eastAsia="仿宋_GB2312"/>
              </w:rPr>
              <w:t>2</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乌兰浩特市61个嘎查村</w:t>
            </w:r>
          </w:p>
        </w:tc>
      </w:tr>
      <w:tr>
        <w:tc>
          <w:tcPr>
            <w:tcW w:type="dxa" w:w="2076"/>
          </w:tcPr>
          <w:p>
            <w:pPr>
              <w:pStyle w:val="null5"/>
              <w:jc w:val="left"/>
            </w:pPr>
            <w:r>
              <w:rPr>
                <w:rFonts w:ascii="仿宋_GB2312" w:hAnsi="仿宋_GB2312" w:cs="仿宋_GB2312" w:eastAsia="仿宋_GB2312"/>
              </w:rPr>
              <w:t>3</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1、签订合同之后，一次性支付，达到付款条件起5日，支付合同总金额的100.00%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严格按照国家、地方有关法律法规和政策规定、竞争性磋商文件、响应文件以及最终签订的合同内容执行。验收过程将确保所有服务内容均达到或超过预期的质量标准，包括但不限于服务的完整性、准确性和时效性。</w:t>
            </w:r>
          </w:p>
        </w:tc>
      </w:tr>
      <w:tr>
        <w:tc>
          <w:tcPr>
            <w:tcW w:type="dxa" w:w="2076"/>
          </w:tcPr>
          <w:p>
            <w:pPr>
              <w:pStyle w:val="null5"/>
              <w:jc w:val="left"/>
            </w:pPr>
            <w:r>
              <w:rPr>
                <w:rFonts w:ascii="仿宋_GB2312" w:hAnsi="仿宋_GB2312" w:cs="仿宋_GB2312" w:eastAsia="仿宋_GB2312"/>
              </w:rPr>
              <w:t>5</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6</w:t>
            </w:r>
          </w:p>
        </w:tc>
        <w:tc>
          <w:tcPr>
            <w:tcW w:type="dxa" w:w="2076"/>
          </w:tcPr>
          <w:p>
            <w:pPr>
              <w:pStyle w:val="null5"/>
              <w:jc w:val="left"/>
            </w:pPr>
            <w:r>
              <w:rPr>
                <w:rFonts w:ascii="仿宋_GB2312" w:hAnsi="仿宋_GB2312" w:cs="仿宋_GB2312" w:eastAsia="仿宋_GB2312"/>
              </w:rPr>
              <w:t>★</w:t>
            </w: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投标有效期：从提交投标（响应）文件的截止之日起90日历天</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标的名称：乌兰浩特市2025年“防贫保险”项目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b/>
              </w:rPr>
              <w:t>签订合同金额和人数：</w:t>
            </w:r>
            <w:r>
              <w:rPr>
                <w:rFonts w:ascii="仿宋_GB2312" w:hAnsi="仿宋_GB2312" w:cs="仿宋_GB2312" w:eastAsia="仿宋_GB2312"/>
              </w:rPr>
              <w:t>最终参保人数以下乡收取脱贫户、边缘户和一般户的保费为标准。目前脱贫人口和边缘户3909人、一般户根据农户意愿收取保费。</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b/>
              </w:rPr>
              <w:t>保费标准：</w:t>
            </w:r>
            <w:r>
              <w:rPr>
                <w:rFonts w:ascii="仿宋_GB2312" w:hAnsi="仿宋_GB2312" w:cs="仿宋_GB2312" w:eastAsia="仿宋_GB2312"/>
              </w:rPr>
              <w:t>以户为单位，户内每人每年保费标准为50元。2025年脱贫户、边缘户政府承担40元/人、个人承担10元/人。一般农户政府承担30元/人、个人承担20元/人。</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rPr>
              <w:t>保险内容：</w:t>
            </w:r>
          </w:p>
          <w:p>
            <w:pPr>
              <w:pStyle w:val="null5"/>
              <w:jc w:val="left"/>
            </w:pPr>
            <w:r>
              <w:rPr>
                <w:rFonts w:ascii="仿宋_GB2312" w:hAnsi="仿宋_GB2312" w:cs="仿宋_GB2312" w:eastAsia="仿宋_GB2312"/>
              </w:rPr>
              <w:t>（一）低于标准线理赔方面</w:t>
            </w:r>
          </w:p>
          <w:p>
            <w:pPr>
              <w:pStyle w:val="null5"/>
              <w:jc w:val="left"/>
            </w:pPr>
            <w:r>
              <w:rPr>
                <w:rFonts w:ascii="仿宋_GB2312" w:hAnsi="仿宋_GB2312" w:cs="仿宋_GB2312" w:eastAsia="仿宋_GB2312"/>
              </w:rPr>
              <w:t>以2024年11月乌兰浩特市农牧和科技局录入全国防贫监测信息系统脱贫人口人均纯收入平均值为标准线，对投保主体因产业损失、自然灾害、意外事故等客观原因造成家庭人均纯收入低于标准线的，在严格理赔程序的前提下由乌兰浩特市乡村振兴局统一提出理赔名单、每户理赔差额。合作的保险机构按照所签订的合作协议，在10个工作日内完成理赔。按照兴安盟乡村振兴局 兴安盟财政局转发《关于进一步规范开展防贫保险业务的通知》的通知（兴乡振发〔2022〕43号）要求，低于标准线的赔付率设定在保费（含脱贫户、一般农户自付部分）的75%—120%之间。</w:t>
            </w:r>
          </w:p>
          <w:p>
            <w:pPr>
              <w:pStyle w:val="null5"/>
              <w:jc w:val="left"/>
            </w:pPr>
            <w:r>
              <w:rPr>
                <w:rFonts w:ascii="仿宋_GB2312" w:hAnsi="仿宋_GB2312" w:cs="仿宋_GB2312" w:eastAsia="仿宋_GB2312"/>
              </w:rPr>
              <w:t>（二）随时发生随时理赔方面</w:t>
            </w:r>
          </w:p>
          <w:p>
            <w:pPr>
              <w:pStyle w:val="null5"/>
              <w:jc w:val="left"/>
            </w:pPr>
            <w:r>
              <w:rPr>
                <w:rFonts w:ascii="仿宋_GB2312" w:hAnsi="仿宋_GB2312" w:cs="仿宋_GB2312" w:eastAsia="仿宋_GB2312"/>
              </w:rPr>
              <w:t>1.产业损失保险★</w:t>
            </w:r>
          </w:p>
          <w:p>
            <w:pPr>
              <w:pStyle w:val="null5"/>
              <w:jc w:val="left"/>
            </w:pPr>
            <w:r>
              <w:rPr>
                <w:rFonts w:ascii="仿宋_GB2312" w:hAnsi="仿宋_GB2312" w:cs="仿宋_GB2312" w:eastAsia="仿宋_GB2312"/>
              </w:rPr>
              <w:t>保障对象（含一般户）因所经营的养殖业、种植业、加工业等产业，在生产经营过程中因自然灾害或意外事故，以及因市场原因等造成产业损失（包括养殖业死亡损失），以及生产经营无效益或效益较差，在扣除政策、商业等农业保险补偿后，剩余部分按照市场价格的一定比例进行理赔。具体理赔比例保险公司须在投标文件里进一步明确。</w:t>
            </w:r>
          </w:p>
          <w:p>
            <w:pPr>
              <w:pStyle w:val="null5"/>
              <w:jc w:val="left"/>
            </w:pPr>
            <w:r>
              <w:rPr>
                <w:rFonts w:ascii="仿宋_GB2312" w:hAnsi="仿宋_GB2312" w:cs="仿宋_GB2312" w:eastAsia="仿宋_GB2312"/>
              </w:rPr>
              <w:t>2.自然灾害保险★</w:t>
            </w:r>
          </w:p>
          <w:p>
            <w:pPr>
              <w:pStyle w:val="null5"/>
              <w:jc w:val="left"/>
            </w:pPr>
            <w:r>
              <w:rPr>
                <w:rFonts w:ascii="仿宋_GB2312" w:hAnsi="仿宋_GB2312" w:cs="仿宋_GB2312" w:eastAsia="仿宋_GB2312"/>
              </w:rPr>
              <w:t>在保险期间内，由于发生气象部门发布的暴风、暴雨、暴雪、寒潮、雪崩、崖崩、雷击、洪水、龙卷风、飑线、台风（热带风暴）、海啸、风暴潮、巨浪、赤潮、海冰、泥石流、突发性滑坡、山体崩塌、地面塌陷、地裂缝、冰雹、沙尘暴、干旱、森林草原火灾，以及其他经投保人与保险人约定承保的自然灾害，导致保险单载明的被保险人因自然灾害发生医疗费用，在扣除基本医疗保险、城乡居民大病保险以及各类补充医疗保险、商业保险报销后被保险人个人自付部分，保险公司按比例进行理赔，具体理赔比例、起付线、最高理赔金额在投标文件里进一步明确。</w:t>
            </w:r>
          </w:p>
          <w:p>
            <w:pPr>
              <w:pStyle w:val="null5"/>
              <w:jc w:val="left"/>
            </w:pPr>
            <w:r>
              <w:rPr>
                <w:rFonts w:ascii="仿宋_GB2312" w:hAnsi="仿宋_GB2312" w:cs="仿宋_GB2312" w:eastAsia="仿宋_GB2312"/>
              </w:rPr>
              <w:t>3.意外事故保险★</w:t>
            </w:r>
          </w:p>
          <w:p>
            <w:pPr>
              <w:pStyle w:val="null5"/>
              <w:jc w:val="left"/>
            </w:pPr>
            <w:r>
              <w:rPr>
                <w:rFonts w:ascii="仿宋_GB2312" w:hAnsi="仿宋_GB2312" w:cs="仿宋_GB2312" w:eastAsia="仿宋_GB2312"/>
              </w:rPr>
              <w:t>在保险期间内，由于发生意外事故导致保险单载明的被保险人发生医疗费用，或无法找到责任人或者责任人无力赔偿，在扣除基本医疗保险、城乡居民大病保险以及各类补充医疗保险、商业保险报销后的被保险人个人自付部分，保险公司按比例进行理赔，具体理赔比例、起付线、最高理赔金额在投标文件里进一步明确。</w:t>
            </w:r>
          </w:p>
          <w:p>
            <w:pPr>
              <w:pStyle w:val="null5"/>
              <w:jc w:val="left"/>
            </w:pPr>
            <w:r>
              <w:rPr>
                <w:rFonts w:ascii="仿宋_GB2312" w:hAnsi="仿宋_GB2312" w:cs="仿宋_GB2312" w:eastAsia="仿宋_GB2312"/>
              </w:rPr>
              <w:t>4.医疗保险★</w:t>
            </w:r>
          </w:p>
          <w:p>
            <w:pPr>
              <w:pStyle w:val="null5"/>
              <w:jc w:val="left"/>
            </w:pPr>
            <w:r>
              <w:rPr>
                <w:rFonts w:ascii="仿宋_GB2312" w:hAnsi="仿宋_GB2312" w:cs="仿宋_GB2312" w:eastAsia="仿宋_GB2312"/>
              </w:rPr>
              <w:t>在保险期间内，保险单载明的被保险人罹患疾病，对符合当地政策范围内的住院医疗费用，在扣除基本医疗保险、城乡居民大病保险以及各类补充医疗保险、商业保险报销后的被保险人个人自付部分，保险公司按比例进行理赔，具体理赔比例、起付线、最高理赔金额在投标文件里进一步明确。</w:t>
            </w:r>
          </w:p>
          <w:p>
            <w:pPr>
              <w:pStyle w:val="null5"/>
              <w:jc w:val="left"/>
            </w:pPr>
            <w:r>
              <w:rPr>
                <w:rFonts w:ascii="仿宋_GB2312" w:hAnsi="仿宋_GB2312" w:cs="仿宋_GB2312" w:eastAsia="仿宋_GB2312"/>
              </w:rPr>
              <w:t>5.家庭财产损失保险★</w:t>
            </w:r>
          </w:p>
          <w:p>
            <w:pPr>
              <w:pStyle w:val="null5"/>
              <w:jc w:val="left"/>
            </w:pPr>
            <w:r>
              <w:rPr>
                <w:rFonts w:ascii="仿宋_GB2312" w:hAnsi="仿宋_GB2312" w:cs="仿宋_GB2312" w:eastAsia="仿宋_GB2312"/>
              </w:rPr>
              <w:t>在保险期间内，因自然灾害、火灾爆炸等原因导致保险单载明的被保险人房屋（含仓房、圈舍）倒塌和农机具损毁的，保险人应理赔。具体理赔比例、起付线、最高理赔金额在投标文件里进一步明确。</w:t>
            </w:r>
          </w:p>
          <w:p>
            <w:pPr>
              <w:pStyle w:val="null5"/>
              <w:jc w:val="left"/>
            </w:pPr>
            <w:r>
              <w:rPr>
                <w:rFonts w:ascii="仿宋_GB2312" w:hAnsi="仿宋_GB2312" w:cs="仿宋_GB2312" w:eastAsia="仿宋_GB2312"/>
              </w:rPr>
              <w:t>上述产业损失保险、自然灾害保险、意外事故保险、医疗保险、家庭财产损失保险，五个险种理赔不受75%—120%赔付率约束。</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both"/>
            </w:pPr>
            <w:r>
              <w:rPr>
                <w:rFonts w:ascii="仿宋_GB2312" w:hAnsi="仿宋_GB2312" w:cs="仿宋_GB2312" w:eastAsia="仿宋_GB2312"/>
                <w:b/>
              </w:rPr>
              <w:t>理赔程序：</w:t>
            </w:r>
          </w:p>
          <w:p>
            <w:pPr>
              <w:pStyle w:val="null5"/>
              <w:jc w:val="left"/>
            </w:pPr>
            <w:r>
              <w:rPr>
                <w:rFonts w:ascii="仿宋_GB2312" w:hAnsi="仿宋_GB2312" w:cs="仿宋_GB2312" w:eastAsia="仿宋_GB2312"/>
              </w:rPr>
              <w:t>一是个人申请。采取农户自行申请的方式进行，由投保人向保险公司提出申请，与此同时向所在镇（园区、办事处）和市农牧和科技局备案。</w:t>
            </w:r>
          </w:p>
          <w:p>
            <w:pPr>
              <w:pStyle w:val="null5"/>
              <w:jc w:val="left"/>
            </w:pPr>
            <w:r>
              <w:rPr>
                <w:rFonts w:ascii="仿宋_GB2312" w:hAnsi="仿宋_GB2312" w:cs="仿宋_GB2312" w:eastAsia="仿宋_GB2312"/>
              </w:rPr>
              <w:t>二是专业调查。保险公司经办人员接到任务后，在5个工作日内，通过“四看一算一核实”（四看，即看住房、看大件、看劳力、看负担；一算，即算收入；一核实，即核实申请人房产及车辆情况）的入户程序，确定补偿对象和补偿标准。</w:t>
            </w:r>
          </w:p>
          <w:p>
            <w:pPr>
              <w:pStyle w:val="null5"/>
              <w:jc w:val="left"/>
            </w:pPr>
            <w:r>
              <w:rPr>
                <w:rFonts w:ascii="仿宋_GB2312" w:hAnsi="仿宋_GB2312" w:cs="仿宋_GB2312" w:eastAsia="仿宋_GB2312"/>
              </w:rPr>
              <w:t>三是补偿金发放。承保机构应于10个工作日内审查、理赔、告知完毕。不符合理赔标准的应及时告知申请对象，符合理赔标准的应及时发放补偿金，并将有关凭证、理赔数据反馈至市农牧和科技局备案存档。在理赔过程中，申请对象和承保机构各自承担举证责任。如有特殊情况理赔时限可延长至30个工作日。</w:t>
            </w:r>
          </w:p>
          <w:p>
            <w:pPr>
              <w:pStyle w:val="null5"/>
              <w:jc w:val="left"/>
            </w:pPr>
            <w:r>
              <w:rPr>
                <w:rFonts w:ascii="仿宋_GB2312" w:hAnsi="仿宋_GB2312" w:cs="仿宋_GB2312" w:eastAsia="仿宋_GB2312"/>
              </w:rPr>
              <w:t>四是违约条款。若理赔严重超过时限（超过30个工作日），保险公司每日按总保险标的的万分之五缴纳违约金至投保人。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 注：如供应商未能提供相关证明材料，供应商应出具“具有良好的商业信誉和健全的财务会计制度”的承诺书，并加盖企业公章。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 注：如供应商未能提供相关证明材料，供应商应出具“依法缴纳税金和社会保障资金”的承诺书，并加盖企业公章。</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 注：如供应商未能提供相关证明材料，供应商应出具“具有履行合同所必需的设备和专业技术能力”的承诺书，并加盖企业公章。</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本项目不允许联合体投标。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投标人须具有相关主管部门颁发的且在有效期内的《经营保险业务许可证》； 供应商须为总公司或其授权的分支机构，但属于同一独立法人资格的保险公司只能由其法人机构自身或其中一家分支机构参与本项目。若以分支机构名义参与投标，则必须提交该分支机构的营业执照副本，并附上总公司授权其参与本项目投标及履行合同义务的授权文件，明确总公司愿意对分支机构的行为承担相应的民事责任。此外，还需提供总公司的《经营保险业务许可证》的原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本项目未要求缴纳保证金，可忽略本项。</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▲本次采购为政策性保险项目，本次报价不接受价格降价，价格分不作为竞标项，所有供应商均按照预算金额进行填报，投标报价高于或低于预算金额均为无效投标。</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▲供应商为石油石化、电力、通信、银行、金融、保险等特殊行业的，可以以分公司名义参加投标活动，采购文件中需要法定代表人授权或签署的，均可由分公司负责人授权或签署。 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防贫保险承保方案</w:t>
            </w:r>
          </w:p>
        </w:tc>
        <w:tc>
          <w:tcPr>
            <w:tcW w:type="dxa" w:w="3115"/>
          </w:tcPr>
          <w:p>
            <w:pPr>
              <w:pStyle w:val="null5"/>
              <w:jc w:val="left"/>
            </w:pPr>
            <w:r>
              <w:rPr>
                <w:rFonts w:ascii="仿宋_GB2312" w:hAnsi="仿宋_GB2312" w:cs="仿宋_GB2312" w:eastAsia="仿宋_GB2312"/>
              </w:rPr>
              <w:t>根据供应商针对本项目提供的承保方案进行细致评审：（1）承保流程介绍（2）承保服务的优化（3）沟通交流机制的建立。 方案包括以上3项关键内容，每小项内容中存在缺陷得1.5分；每小项内容无缺陷得3分；未提供不得分。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或简单复制本项目采购需求、表述模糊不清，不符合采购需求的情况。】</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防贫保险理赔方案</w:t>
            </w:r>
          </w:p>
        </w:tc>
        <w:tc>
          <w:tcPr>
            <w:tcW w:type="dxa" w:w="3115"/>
          </w:tcPr>
          <w:p>
            <w:pPr>
              <w:pStyle w:val="null5"/>
              <w:jc w:val="left"/>
            </w:pPr>
            <w:r>
              <w:rPr>
                <w:rFonts w:ascii="仿宋_GB2312" w:hAnsi="仿宋_GB2312" w:cs="仿宋_GB2312" w:eastAsia="仿宋_GB2312"/>
              </w:rPr>
              <w:t>根据供应商针对本项目提供的理赔方案进行细致评审：（1）赔付预付（2）理赔原则（3）理赔流程（4）供应商误偿追偿责任落实机制（5）服务质量保障措施（6）建立服务档案及跟踪管理的保障措施等。 方案包括以上6项关键内容，每小项内容中存在缺陷得1.5分；每小项内容无缺陷得3分；未提供不得分。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或简单复制本项目采购需求、表述模糊不清，不符合采购需求的情况。】</w:t>
            </w:r>
          </w:p>
        </w:tc>
        <w:tc>
          <w:tcPr>
            <w:tcW w:type="dxa" w:w="1038"/>
          </w:tcPr>
          <w:p>
            <w:pPr>
              <w:pStyle w:val="null5"/>
              <w:jc w:val="right"/>
            </w:pPr>
            <w:r>
              <w:rPr>
                <w:rFonts w:ascii="仿宋_GB2312" w:hAnsi="仿宋_GB2312" w:cs="仿宋_GB2312" w:eastAsia="仿宋_GB2312"/>
              </w:rPr>
              <w:t>18.00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服务管理机制</w:t>
            </w:r>
          </w:p>
        </w:tc>
        <w:tc>
          <w:tcPr>
            <w:tcW w:type="dxa" w:w="3115"/>
          </w:tcPr>
          <w:p>
            <w:pPr>
              <w:pStyle w:val="null5"/>
              <w:jc w:val="left"/>
            </w:pPr>
            <w:r>
              <w:rPr>
                <w:rFonts w:ascii="仿宋_GB2312" w:hAnsi="仿宋_GB2312" w:cs="仿宋_GB2312" w:eastAsia="仿宋_GB2312"/>
              </w:rPr>
              <w:t>根据供应商提供的服务管理机制进行细致评审：（1）风险管控机制（2）投诉处理机制（3）内部控制系统及项目评估机制等。 包含以上3项关键内容，每小项内容中存在缺陷得1.5分；每小项内容无缺陷得3分；未提供不得分。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或简单复制本项目采购需求、表述模糊不清，不符合采购需求的情况。】</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人员岗位计划及培训体系</w:t>
            </w:r>
          </w:p>
        </w:tc>
        <w:tc>
          <w:tcPr>
            <w:tcW w:type="dxa" w:w="3115"/>
          </w:tcPr>
          <w:p>
            <w:pPr>
              <w:pStyle w:val="null5"/>
              <w:jc w:val="left"/>
            </w:pPr>
            <w:r>
              <w:rPr>
                <w:rFonts w:ascii="仿宋_GB2312" w:hAnsi="仿宋_GB2312" w:cs="仿宋_GB2312" w:eastAsia="仿宋_GB2312"/>
              </w:rPr>
              <w:t>根据供应商提供的人员岗位计划及培训体系进行细致评审：（1）服务团队的构建（2）职责分配（3）各项工作的职能与责任（4）培训规划等。 包括以上4项关键内容，每小项内容中存在缺陷得1.5分；每小项内容无缺陷得3分；未提供不得分。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或简单复制本项目采购需求、表述模糊不清，不符合采购需求的情况。】</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风险管理、应急管理措施及预案</w:t>
            </w:r>
          </w:p>
        </w:tc>
        <w:tc>
          <w:tcPr>
            <w:tcW w:type="dxa" w:w="3115"/>
          </w:tcPr>
          <w:p>
            <w:pPr>
              <w:pStyle w:val="null5"/>
              <w:jc w:val="left"/>
            </w:pPr>
            <w:r>
              <w:rPr>
                <w:rFonts w:ascii="仿宋_GB2312" w:hAnsi="仿宋_GB2312" w:cs="仿宋_GB2312" w:eastAsia="仿宋_GB2312"/>
              </w:rPr>
              <w:t>根据供应商提供的风险管理、应急管理措施及预案进行细致评审：（1）管控应急方案（2）突发案件及群体群访应急方案（3）规模性返贫应急方案（4）风险管理策略。 包括以上4项关键内容，每小项内容中存在缺陷得1.5分；每小项内容无缺陷得3分；未提供不得分。 【注：此处所指的“缺陷”包括但不限于：标准规范等描述的不准确；方案内容不适用于本项目的实际情况；项目名称或实施地点与本项目不符；内容不符合国家或行业规范要求、缺少关键节点、前后内容相互矛盾、逻辑不通；存在无法实现的夸大描述；内容过于简略或简单复制本项目采购需求、表述模糊不清，不符合采购需求的情况。】</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2022年至今承担过类似项目业绩，每提供一个得2分，最高得6分。（类似项目业绩是指与本项目在性质、规模、服务范围或目标受众等方面相似或具有可比性的项目业绩。这些项目业绩应能够体现出供应商在防贫保险领域或相关社会保障领域的专业能力、项目执行经验以及服务成效）。 佐证资料：合同。</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理赔服务承诺</w:t>
            </w:r>
          </w:p>
        </w:tc>
        <w:tc>
          <w:tcPr>
            <w:tcW w:type="dxa" w:w="3115"/>
          </w:tcPr>
          <w:p>
            <w:pPr>
              <w:pStyle w:val="null5"/>
              <w:jc w:val="left"/>
            </w:pPr>
            <w:r>
              <w:rPr>
                <w:rFonts w:ascii="仿宋_GB2312" w:hAnsi="仿宋_GB2312" w:cs="仿宋_GB2312" w:eastAsia="仿宋_GB2312"/>
              </w:rPr>
              <w:t>（1）供应商提供的理赔服务承诺应包含：理赔服务时效、联系机制、提供报告情况、设立理赔绿色通道、配合第三方履约检查工作、在线理赔等，得2分，未提供或缺项不得分。 （2）供应商若能在收到通知后的2小时内（工作时间内）迅速响应并启动业务流程，得2分；在2小时-6小时内（工作时间内）做出响应并启动业务流程，得1分；超出6小时（工作时间内）才作出响应并启动业务流程，得0.5分。 【注：“2小时内，6小时内”含本数。】</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产业损失保险、自然灾害保险、意外事故保险、医疗保险、家庭财产损失保险理赔比例（%）、起付线、最高限额</w:t>
            </w:r>
          </w:p>
        </w:tc>
        <w:tc>
          <w:tcPr>
            <w:tcW w:type="dxa" w:w="3115"/>
          </w:tcPr>
          <w:p>
            <w:pPr>
              <w:pStyle w:val="null5"/>
              <w:jc w:val="left"/>
            </w:pPr>
            <w:r>
              <w:rPr>
                <w:rFonts w:ascii="仿宋_GB2312" w:hAnsi="仿宋_GB2312" w:cs="仿宋_GB2312" w:eastAsia="仿宋_GB2312"/>
              </w:rPr>
              <w:t>供应商明确产业损失保险、自然灾害保险、意外事故保险、医疗保险、家庭财产损失保险的理赔赔率（理赔赔率高低为衡量的重要标准）、起付线、最高限额： （1）理赔赔率：保险理赔比例（%）最高的将作为评标基准： ①产业损失保险理赔比例最高的得3分，每低于基准1%扣0.1分，最多扣3分。未提供理赔比例不得分。 ②自然灾害保险理赔比例最高的得3分，每低于基准1%扣0.1分，最多扣3分。未提供理赔比例不得分。 ③意外事故保险理赔比例最高的得3分，每低于基准1%扣0.1分，最多扣3分。未提供理赔比例不得分。 ④医疗保险理赔比例最高的得3分，每低于基准1%扣0.1分，最多扣3分。未提供理赔比例不得分。 ⑤家庭财产损失保险理赔比例最高的得3分，每低于基准1%扣0.1分，最多扣3分。未提供理赔比例不得分。 （2）起付线：保险公司理赔起付线最低的将作为评标基准： ①产业损失保险理赔起付线最低的得0.5分，每高于基准1000元，扣0.1分，最多扣0.5分。未提供不得分。 ②自然灾害保险理赔起付线最低的得0.5分，每高于基准1000元，扣0.1分，最多扣0.5分。未提不得分。 ③意外事故保险理赔起付线最低的得0.5分，每高于基准1000元，扣0.1分，最多扣0.5分。未提不得分。 ④医疗保险理赔起付线最低的得0.5分，每高于基准1000元，扣0.1分，最多扣0.5分。未提供不得分。 ⑤家庭财产损失保险理赔起付线最低的得0.5分，每高于基准1000元，扣0.1分，最多扣0.5分。未提供不得分。 （3）最高限额：保险公司理赔最高限额最高的将作为评标基准： ①产业损失保险理赔最高限额，最高的得0.5分，每低于基准5000元，扣0.1分，最多扣0.5分。未提供不得分。 ②自然灾害保险理赔最高限额，最高的得0.5分，每低于基准5000元，扣0.1分，最多扣0.5分。未提供不得分。 ③意外事故保险理赔最高限额，最高的得0.5分，每低于基准5000元，扣0.1分，最多扣0.5分。未提供不得分。 ④医疗保险理赔最高限额，最高的得0.5分，每低于基准5000元，扣0.1分，最多扣0.5分。未提供不得分。 ⑤家庭财产损失保险理赔最高限额，最高的得0.5分，每低于基准5000元，扣0.1分，最多扣0.5分。未提供不得分。 【注：中间值按比例内插】。</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15.00%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