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斯力很现代农业园区金星村节水增粮滴灌带厂项目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乌兰浩特市斯力很现代农业园区管理委员会</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河南新时代工程管理有限公司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152201-HNXSD-GK-20250001</w:t>
      </w:r>
    </w:p>
    <w:p>
      <w:pPr>
        <w:pStyle w:val="null5"/>
        <w:jc w:val="center"/>
      </w:pPr>
      <w:r>
        <w:rPr>
          <w:rFonts w:ascii="仿宋_GB2312" w:hAnsi="仿宋_GB2312" w:cs="仿宋_GB2312" w:eastAsia="仿宋_GB2312"/>
        </w:rPr>
        <w:t>2025年03月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河南新时代工程管理有限公司</w:t>
      </w:r>
      <w:r>
        <w:rPr>
          <w:rFonts w:ascii="仿宋_GB2312" w:hAnsi="仿宋_GB2312" w:cs="仿宋_GB2312" w:eastAsia="仿宋_GB2312"/>
        </w:rPr>
        <w:t xml:space="preserve"> 受 </w:t>
      </w:r>
      <w:r>
        <w:rPr>
          <w:rFonts w:ascii="仿宋_GB2312" w:hAnsi="仿宋_GB2312" w:cs="仿宋_GB2312" w:eastAsia="仿宋_GB2312"/>
        </w:rPr>
        <w:t>乌兰浩特市斯力很现代农业园区管理委员会</w:t>
      </w:r>
      <w:r>
        <w:rPr>
          <w:rFonts w:ascii="仿宋_GB2312" w:hAnsi="仿宋_GB2312" w:cs="仿宋_GB2312" w:eastAsia="仿宋_GB2312"/>
        </w:rPr>
        <w:t xml:space="preserve"> 委托，采用公开招标方式组织采购 </w:t>
      </w:r>
      <w:r>
        <w:rPr>
          <w:rFonts w:ascii="仿宋_GB2312" w:hAnsi="仿宋_GB2312" w:cs="仿宋_GB2312" w:eastAsia="仿宋_GB2312"/>
        </w:rPr>
        <w:t>斯力很现代农业园区金星村节水增粮滴灌带厂项目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斯力很现代农业园区金星村节水增粮滴灌带厂项目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152201-HNXSD-GK-20250001</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乌财购计划[2025]00526</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1,250,000.00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斯力很现代农业园区金星村节水增粮滴灌带厂项目</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1,250,000.00</w:t>
            </w:r>
          </w:p>
        </w:tc>
        <w:tc>
          <w:tcPr>
            <w:tcW w:type="dxa" w:w="831"/>
          </w:tcPr>
          <w:p>
            <w:pPr>
              <w:pStyle w:val="null5"/>
              <w:jc w:val="left"/>
            </w:pPr>
            <w:r>
              <w:rPr>
                <w:rFonts w:ascii="仿宋_GB2312" w:hAnsi="仿宋_GB2312" w:cs="仿宋_GB2312" w:eastAsia="仿宋_GB2312"/>
              </w:rPr>
              <w:t>批</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河南新时代工程管理有限公司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兴安盟科右前旗</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137400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15248558505</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乌兰浩特市斯力很现代农业园区管理委员会</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乌兰浩特市葛根庙镇卫东办事处本街</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137400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佟利强</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13948240210</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代理服务费收费标准：参照内工建协【2022】34号文件收取</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本项目可兼投1包，本项目可兼中1包</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乌兰浩特市斯力很现代农业园区管理委员会</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河南新时代工程管理有限公司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审查投标人提供的具有良好的商业信誉和健全的财务会计制度的相关材料。（2023年或2024年审计报告或承诺函）</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审查投标人提供的依法缴纳税收和社会保障资金的相关材料。（或承诺函）</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审查投标人提供的具有履行合同所必需的设备和专业技术能力的证明材料。（或承诺函）</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斯力很现代农业园区金星村节水增粮滴灌带厂项目</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合同签订后至2025年5月末</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斯力很现代农业园区</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1、施工队进场后，达到付款条件起7日，支付合同总金额的30.00%</w:t>
            </w:r>
          </w:p>
          <w:p>
            <w:pPr>
              <w:pStyle w:val="null5"/>
              <w:jc w:val="left"/>
            </w:pPr>
            <w:r>
              <w:rPr>
                <w:rFonts w:ascii="仿宋_GB2312" w:hAnsi="仿宋_GB2312" w:cs="仿宋_GB2312" w:eastAsia="仿宋_GB2312"/>
              </w:rPr>
              <w:t>2、按实际工期进行拨付，达到付款条件起7日，支付合同总金额的70.00%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需要缴纳履约保证金：null</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标的名称：斯力很现代农业园区金星村节水增粮滴灌带厂项目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详见附件“技术参数与采购明细”</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技术部分68.00分</w:t>
            </w:r>
          </w:p>
          <w:p>
            <w:pPr>
              <w:pStyle w:val="null5"/>
              <w:jc w:val="left"/>
            </w:pPr>
            <w:r>
              <w:rPr>
                <w:rFonts w:ascii="仿宋_GB2312" w:hAnsi="仿宋_GB2312" w:cs="仿宋_GB2312" w:eastAsia="仿宋_GB2312"/>
              </w:rPr>
              <w:t>商务部分2.00分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技术参数响应</w:t>
            </w:r>
          </w:p>
        </w:tc>
        <w:tc>
          <w:tcPr>
            <w:tcW w:type="dxa" w:w="3115"/>
          </w:tcPr>
          <w:p>
            <w:pPr>
              <w:pStyle w:val="null5"/>
              <w:jc w:val="left"/>
            </w:pPr>
            <w:r>
              <w:rPr>
                <w:rFonts w:ascii="仿宋_GB2312" w:hAnsi="仿宋_GB2312" w:cs="仿宋_GB2312" w:eastAsia="仿宋_GB2312"/>
              </w:rPr>
              <w:t>根据投标人提供的投标产品技术参数进行评审，符合或优于招标文件技术参数要求得14分。投标人需要提供检测报告或鉴定证书或技术白皮书或说明书或网站截图或产品彩页等投标人认为需要提供的其他技术资料进行评审。每有1项负偏离或不满足扣1分，最高扣14分。</w:t>
            </w:r>
          </w:p>
        </w:tc>
        <w:tc>
          <w:tcPr>
            <w:tcW w:type="dxa" w:w="1038"/>
          </w:tcPr>
          <w:p>
            <w:pPr>
              <w:pStyle w:val="null5"/>
              <w:jc w:val="right"/>
            </w:pPr>
            <w:r>
              <w:rPr>
                <w:rFonts w:ascii="仿宋_GB2312" w:hAnsi="仿宋_GB2312" w:cs="仿宋_GB2312" w:eastAsia="仿宋_GB2312"/>
              </w:rPr>
              <w:t>14.00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运输供货方案</w:t>
            </w:r>
          </w:p>
        </w:tc>
        <w:tc>
          <w:tcPr>
            <w:tcW w:type="dxa" w:w="3115"/>
          </w:tcPr>
          <w:p>
            <w:pPr>
              <w:pStyle w:val="null5"/>
              <w:jc w:val="left"/>
            </w:pPr>
            <w:r>
              <w:rPr>
                <w:rFonts w:ascii="仿宋_GB2312" w:hAnsi="仿宋_GB2312" w:cs="仿宋_GB2312" w:eastAsia="仿宋_GB2312"/>
              </w:rPr>
              <w:t>根据投标人提供的货物运输方案进行评分，方案包括但不限于：①货物运输方案；②货物包装；③供货安全保证措施。结合项目特点，方案内容描述完整、清晰合理、切实可行符合本项目要求的每提供一项得4分，共12分，每有一项缺项或漏项扣4分；每有一处内容存在缺陷扣2分，直至扣完为止。未提供不得分。（注：①内容缺陷是指：项目需求不一致或逻辑不通；与本项目需求无关；内容不完整或缺少关键节点。内容引用的规定、规范错误、描述不符合国家相关法律法规、政策文件、规范标准要求；内容阐述的方式方法明显不符合本项目实际情况；内容前后表述矛盾与项目不匹配、套用其他项目内容；以上有任意一项出现即视为缺陷；②以评标委员会结合招标文件要求及投标文件内容独立评审为准。）</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质量保障措施</w:t>
            </w:r>
          </w:p>
        </w:tc>
        <w:tc>
          <w:tcPr>
            <w:tcW w:type="dxa" w:w="3115"/>
          </w:tcPr>
          <w:p>
            <w:pPr>
              <w:pStyle w:val="null5"/>
              <w:jc w:val="left"/>
            </w:pPr>
            <w:r>
              <w:rPr>
                <w:rFonts w:ascii="仿宋_GB2312" w:hAnsi="仿宋_GB2312" w:cs="仿宋_GB2312" w:eastAsia="仿宋_GB2312"/>
              </w:rPr>
              <w:t>根据投标人提供的质量保证措施进行评分，方案包括但不限于：①质量控 制措施；②质量标准；③过程控制及保证措施。结合项目特点，方案内容 描述完整、清晰合理、切实可行符合本项目要求的每提供一项得4分，共12 分，每有一项缺项或漏项扣4分；每有一处内容存在缺陷扣2分，直至扣完 为止。未提供不得分。（注：①内容缺陷是指：项目需求不一致或逻辑不 通；与本项目需求无关；内容不完整或缺少关键节点。内容引用的规定、 规范错误、描述不符合国家相关法律法规、政策文件、规范标准要求；内 容阐述的方式方法明显不符合本项目实际情况；内容前后表述矛盾与项目 不匹配、套用其他项目内容；以上有任意一项出现即视为缺陷；②以评标 委员会结合招标文件要求及投标文件内容独立评审为准。）</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售后服务方案</w:t>
            </w:r>
          </w:p>
        </w:tc>
        <w:tc>
          <w:tcPr>
            <w:tcW w:type="dxa" w:w="3115"/>
          </w:tcPr>
          <w:p>
            <w:pPr>
              <w:pStyle w:val="null5"/>
              <w:jc w:val="left"/>
            </w:pPr>
            <w:r>
              <w:rPr>
                <w:rFonts w:ascii="仿宋_GB2312" w:hAnsi="仿宋_GB2312" w:cs="仿宋_GB2312" w:eastAsia="仿宋_GB2312"/>
              </w:rPr>
              <w:t>根据投标人提供的售后服务方案进行评分，方案包括但不限于：①售后服 务承诺；②售后服务保障体系；③人员培训计划。结合项目特点，方案内 容描述完整、清晰合理、切实可行符合本项目要求的每提供一项得4分， 共12分，每有一项缺项或漏项扣4分；每有一处内容存在缺陷扣2分，直至 扣完为止。未提供不得分。（注：①内容缺陷是指：项目需求不一致或逻 辑不通；与本项目需求无关；内容不完整或缺少关键节点。内容引用的规 定、规范错误、描述不符合国家相关法律法规、政策文件、规范标准要求 ；内容阐述的方式方法明显不符合本项目实际情况；内容前后表述矛盾与 项目不匹配、套用其他项目内容；以上有任意一项出现即视为缺陷；②以 评标委员会结合招标文件要求及投标文件内容独立评审为准。）</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故障处理方案</w:t>
            </w:r>
          </w:p>
        </w:tc>
        <w:tc>
          <w:tcPr>
            <w:tcW w:type="dxa" w:w="3115"/>
          </w:tcPr>
          <w:p>
            <w:pPr>
              <w:pStyle w:val="null5"/>
              <w:jc w:val="left"/>
            </w:pPr>
            <w:r>
              <w:rPr>
                <w:rFonts w:ascii="仿宋_GB2312" w:hAnsi="仿宋_GB2312" w:cs="仿宋_GB2312" w:eastAsia="仿宋_GB2312"/>
              </w:rPr>
              <w:t>根据投标人提供的故障处理方案进行评分，方案包括但不限于：①应急预 备方案；②故障响应时间；③故障处理办法。结合项目特点，方案内容描 述完整、清晰合理、切实可行符合本项目要求的每提供一项得3分，共9分 ，每有一项缺项或漏项扣3分；每有一处内容存在缺陷扣2分，直至扣完 为止。未提供不得分。（注：①内容缺陷是指：项目需求不一致或逻辑不 通；与本项目需求无关；内容不完整或缺少关键节点。内容引用的规定、 规范错误、描述不符合国家相关法律法规、政策文件、规范标准要求；内 容阐述的方式方法明显不符合本项目实际情况；内容前后表述矛盾与项目 不匹配、套用其他项目内容；以上有任意一项出现即视为缺陷；②以评标 委员会结合招标文件要求及投标文件内容独立评审为准。）</w:t>
            </w:r>
          </w:p>
        </w:tc>
        <w:tc>
          <w:tcPr>
            <w:tcW w:type="dxa" w:w="1038"/>
          </w:tcPr>
          <w:p>
            <w:pPr>
              <w:pStyle w:val="null5"/>
              <w:jc w:val="right"/>
            </w:pPr>
            <w:r>
              <w:rPr>
                <w:rFonts w:ascii="仿宋_GB2312" w:hAnsi="仿宋_GB2312" w:cs="仿宋_GB2312" w:eastAsia="仿宋_GB2312"/>
              </w:rPr>
              <w:t>9.00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备品备件</w:t>
            </w:r>
          </w:p>
        </w:tc>
        <w:tc>
          <w:tcPr>
            <w:tcW w:type="dxa" w:w="3115"/>
          </w:tcPr>
          <w:p>
            <w:pPr>
              <w:pStyle w:val="null5"/>
              <w:jc w:val="left"/>
            </w:pPr>
            <w:r>
              <w:rPr>
                <w:rFonts w:ascii="仿宋_GB2312" w:hAnsi="仿宋_GB2312" w:cs="仿宋_GB2312" w:eastAsia="仿宋_GB2312"/>
              </w:rPr>
              <w:t>根据投标人提供的备品备件方案进行评分，方案包括但不限于：①备品备 件管理方案；②备件维护方案；③备品备件保障措施。结合项目特点，方 案内容描述完整、清晰合理、切实可行符合本项目要求的每提供一项得3 分，共9分，每有一项缺项或漏项扣3分；每有一处内容存在缺陷扣2分 ，直至扣完为止。未提供不得分。（注：①内容缺陷是指：项目需求不一 致或逻辑不通；与本项目需求无关；内容不完整或缺少关键节点。内容引 用的规定、规范错误、描述不符合国家相关法律法规、政策文件、规范标 准要求；内容阐述的方式方法明显不符合本项目实际情况；内容前后表述 矛盾与项目不匹配、套用其他项目内容；以上有任意一项出现即视为缺陷 ；②以评标委员会结合招标文件要求及投标文件内容独立评审为准。）</w:t>
            </w:r>
          </w:p>
        </w:tc>
        <w:tc>
          <w:tcPr>
            <w:tcW w:type="dxa" w:w="1038"/>
          </w:tcPr>
          <w:p>
            <w:pPr>
              <w:pStyle w:val="null5"/>
              <w:jc w:val="right"/>
            </w:pPr>
            <w:r>
              <w:rPr>
                <w:rFonts w:ascii="仿宋_GB2312" w:hAnsi="仿宋_GB2312" w:cs="仿宋_GB2312" w:eastAsia="仿宋_GB2312"/>
              </w:rPr>
              <w:t>9.00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2022年至今，每提供一份类似业绩的供货合同得1分，最多得2分。</w:t>
            </w:r>
          </w:p>
        </w:tc>
        <w:tc>
          <w:tcPr>
            <w:tcW w:type="dxa" w:w="1038"/>
          </w:tcPr>
          <w:p>
            <w:pPr>
              <w:pStyle w:val="null5"/>
              <w:jc w:val="right"/>
            </w:pPr>
            <w:r>
              <w:rPr>
                <w:rFonts w:ascii="仿宋_GB2312" w:hAnsi="仿宋_GB2312" w:cs="仿宋_GB2312" w:eastAsia="仿宋_GB2312"/>
              </w:rPr>
              <w:t>2.00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