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阿尔山市林海街体育公园项目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阿尔山市文化旅游体育局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内蒙古坤建项目管理有限公司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152202-NMKJZC-GK-20250001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内蒙古坤建项目管理有限公司</w:t>
      </w:r>
      <w:r>
        <w:rPr>
          <w:rFonts w:ascii="仿宋_GB2312" w:hAnsi="仿宋_GB2312" w:cs="仿宋_GB2312" w:eastAsia="仿宋_GB2312"/>
        </w:rPr>
        <w:t xml:space="preserve"> 受 </w:t>
      </w:r>
      <w:r>
        <w:rPr>
          <w:rFonts w:ascii="仿宋_GB2312" w:hAnsi="仿宋_GB2312" w:cs="仿宋_GB2312" w:eastAsia="仿宋_GB2312"/>
        </w:rPr>
        <w:t>阿尔山市文化旅游体育局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阿尔山市林海街体育公园项目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阿尔山市林海街体育公园项目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152202-NMKJZC-GK-20250001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阿财购计划[2025]00080</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阿尔山市林海街体育公园项目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内蒙古坤建项目管理有限公司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内蒙古自治区兴安盟乌兰浩特市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高工</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15148288334</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阿尔山市文化旅游体育局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兴安盟阿尔山市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137800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张喜晨</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13804797785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代理服务费收费标准：按照中标金额的1.5%收取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阿尔山市文化旅游体育局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内蒙古坤建项目管理有限公司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审查投标人提供的具有良好的商业信誉和健全的财务会计制度的相关材料或承诺函。</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审查投标人提供的依法缴纳税收和社会保障资金的相关材料或承诺函。</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审查投标人提供的具有履行合同所必需的设备和专业技术能力的证明材料或承诺。</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阿尔山市林海街体育公园项目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60个日历日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阿尔山市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1、货品交付验收合格后一次性付清，达到付款条件起2日，支付合同总金额的100.00%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标的名称：阿尔山市林海街体育公园项目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48"/>
              <w:gridCol w:w="285"/>
              <w:gridCol w:w="1910"/>
              <w:gridCol w:w="208"/>
            </w:tblGrid>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b/>
                      <w:color w:val="000000"/>
                    </w:rPr>
                    <w:t>序号</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b/>
                      <w:color w:val="000000"/>
                    </w:rPr>
                    <w:t>名称</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b/>
                      <w:color w:val="000000"/>
                    </w:rPr>
                    <w:t>参数</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数量</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b/>
                      <w:color w:val="000000"/>
                    </w:rPr>
                    <w:t>1</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场地围网</w:t>
                  </w:r>
                  <w:r>
                    <w:br/>
                  </w:r>
                  <w:r>
                    <w:rPr>
                      <w:rFonts w:ascii="仿宋_GB2312" w:hAnsi="仿宋_GB2312" w:cs="仿宋_GB2312" w:eastAsia="仿宋_GB2312"/>
                      <w:sz w:val="28"/>
                      <w:color w:val="000000"/>
                    </w:rPr>
                    <w:t xml:space="preserve"> （带灯）</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篮球场地围网</w:t>
                  </w:r>
                  <w:r>
                    <w:br/>
                  </w:r>
                  <w:r>
                    <w:rPr>
                      <w:rFonts w:ascii="仿宋_GB2312" w:hAnsi="仿宋_GB2312" w:cs="仿宋_GB2312" w:eastAsia="仿宋_GB2312"/>
                      <w:sz w:val="28"/>
                      <w:color w:val="000000"/>
                    </w:rPr>
                    <w:t xml:space="preserve"> 篮球场立柱φ89*3.0mm优质钢管,框架使用φ50*2.5mm优质钢管，墨绿色，勾花网50*50*3.8 mm 墨绿色，压扁铝宽20*2.0mm厚墨绿色。双开门。</w:t>
                  </w:r>
                  <w:r>
                    <w:br/>
                  </w:r>
                  <w:r>
                    <w:rPr>
                      <w:rFonts w:ascii="仿宋_GB2312" w:hAnsi="仿宋_GB2312" w:cs="仿宋_GB2312" w:eastAsia="仿宋_GB2312"/>
                      <w:sz w:val="28"/>
                      <w:color w:val="000000"/>
                    </w:rPr>
                    <w:t xml:space="preserve">  羽毛球场地围网</w:t>
                  </w:r>
                  <w:r>
                    <w:br/>
                  </w:r>
                  <w:r>
                    <w:rPr>
                      <w:rFonts w:ascii="仿宋_GB2312" w:hAnsi="仿宋_GB2312" w:cs="仿宋_GB2312" w:eastAsia="仿宋_GB2312"/>
                      <w:sz w:val="28"/>
                      <w:color w:val="000000"/>
                    </w:rPr>
                    <w:t xml:space="preserve"> 羽毛球场立柱φ89*3.0mm优质钢管,框架使用φ50*2.5mm优质钢管，墨绿色，勾花网50*50*3.8 mm 墨绿色，压扁铝宽20*2.0mm厚墨绿色。双开门。</w:t>
                  </w:r>
                  <w:r>
                    <w:br/>
                  </w:r>
                  <w:r>
                    <w:rPr>
                      <w:rFonts w:ascii="仿宋_GB2312" w:hAnsi="仿宋_GB2312" w:cs="仿宋_GB2312" w:eastAsia="仿宋_GB2312"/>
                      <w:sz w:val="28"/>
                      <w:color w:val="000000"/>
                    </w:rPr>
                    <w:t xml:space="preserve">  乒乓球场地围网</w:t>
                  </w:r>
                  <w:r>
                    <w:br/>
                  </w:r>
                  <w:r>
                    <w:rPr>
                      <w:rFonts w:ascii="仿宋_GB2312" w:hAnsi="仿宋_GB2312" w:cs="仿宋_GB2312" w:eastAsia="仿宋_GB2312"/>
                      <w:sz w:val="28"/>
                      <w:color w:val="000000"/>
                    </w:rPr>
                    <w:t xml:space="preserve"> 乒乓球场立柱φ89*3.0mm优质钢管,框架使用φ50*2.5mm优质钢管，墨绿色，勾花网50*50*3.8 mm 墨绿色，压扁铝宽20*2.0mm厚墨绿色。双开门。</w:t>
                  </w:r>
                  <w:r>
                    <w:br/>
                  </w:r>
                  <w:r>
                    <w:rPr>
                      <w:rFonts w:ascii="仿宋_GB2312" w:hAnsi="仿宋_GB2312" w:cs="仿宋_GB2312" w:eastAsia="仿宋_GB2312"/>
                      <w:sz w:val="28"/>
                      <w:color w:val="000000"/>
                    </w:rPr>
                    <w:t xml:space="preserve">  排球场围网</w:t>
                  </w:r>
                  <w:r>
                    <w:br/>
                  </w:r>
                  <w:r>
                    <w:rPr>
                      <w:rFonts w:ascii="仿宋_GB2312" w:hAnsi="仿宋_GB2312" w:cs="仿宋_GB2312" w:eastAsia="仿宋_GB2312"/>
                      <w:sz w:val="28"/>
                      <w:color w:val="000000"/>
                    </w:rPr>
                    <w:t xml:space="preserve"> 排球场立柱φ89*3.0mm优质钢管,框架使用φ50*2.5mm优质钢管，墨绿色，勾花网50*50*3.8 mm 墨绿色，压扁铝宽20*2.0mm厚墨绿色。双开门。</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1460平米</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b/>
                      <w:color w:val="000000"/>
                    </w:rPr>
                    <w:t>2</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仿液压篮球架</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仿液压篮球架技术参数：</w:t>
                  </w:r>
                  <w:r>
                    <w:br/>
                  </w:r>
                  <w:r>
                    <w:rPr>
                      <w:rFonts w:ascii="仿宋_GB2312" w:hAnsi="仿宋_GB2312" w:cs="仿宋_GB2312" w:eastAsia="仿宋_GB2312"/>
                      <w:sz w:val="28"/>
                      <w:color w:val="000000"/>
                    </w:rPr>
                    <w:t xml:space="preserve"> 仿液压篮球架，表面采用静电喷涂工艺，具有防锈蚀，耐氧化，不退色等特点。篮板采用高强度安全钢化玻璃材料加工而成，抗冲击力强，透明度高等优点。</w:t>
                  </w:r>
                  <w:r>
                    <w:br/>
                  </w:r>
                  <w:r>
                    <w:rPr>
                      <w:rFonts w:ascii="仿宋_GB2312" w:hAnsi="仿宋_GB2312" w:cs="仿宋_GB2312" w:eastAsia="仿宋_GB2312"/>
                      <w:sz w:val="28"/>
                      <w:color w:val="000000"/>
                    </w:rPr>
                    <w:t xml:space="preserve"> 1.产品技术规格篮球架伸臂为2.25m（250×250×3.0mm优质钢板拼接而成）</w:t>
                  </w:r>
                  <w:r>
                    <w:br/>
                  </w:r>
                  <w:r>
                    <w:rPr>
                      <w:rFonts w:ascii="仿宋_GB2312" w:hAnsi="仿宋_GB2312" w:cs="仿宋_GB2312" w:eastAsia="仿宋_GB2312"/>
                      <w:sz w:val="28"/>
                      <w:color w:val="000000"/>
                    </w:rPr>
                    <w:t xml:space="preserve"> 2.球架底座尺寸：长×宽=2.0×1.0m（前高700mm，后高450mm，采用3.0mm钢板裁板折弯而成）</w:t>
                  </w:r>
                  <w:r>
                    <w:br/>
                  </w:r>
                  <w:r>
                    <w:rPr>
                      <w:rFonts w:ascii="仿宋_GB2312" w:hAnsi="仿宋_GB2312" w:cs="仿宋_GB2312" w:eastAsia="仿宋_GB2312"/>
                      <w:sz w:val="28"/>
                      <w:color w:val="000000"/>
                    </w:rPr>
                    <w:t xml:space="preserve"> 3.立柱规格:80×120×3.0mm优质方管拼接而成。</w:t>
                  </w:r>
                  <w:r>
                    <w:br/>
                  </w:r>
                  <w:r>
                    <w:rPr>
                      <w:rFonts w:ascii="仿宋_GB2312" w:hAnsi="仿宋_GB2312" w:cs="仿宋_GB2312" w:eastAsia="仿宋_GB2312"/>
                      <w:sz w:val="28"/>
                      <w:color w:val="000000"/>
                    </w:rPr>
                    <w:t xml:space="preserve"> 后拉杆规格:60×60×3.0mm优质方管拼接而成。</w:t>
                  </w:r>
                  <w:r>
                    <w:br/>
                  </w:r>
                  <w:r>
                    <w:rPr>
                      <w:rFonts w:ascii="仿宋_GB2312" w:hAnsi="仿宋_GB2312" w:cs="仿宋_GB2312" w:eastAsia="仿宋_GB2312"/>
                      <w:sz w:val="28"/>
                      <w:color w:val="000000"/>
                    </w:rPr>
                    <w:t xml:space="preserve"> 4.篮板规格：1800×1050（㎜），篮板配用国际通用的高强度安全玻璃篮板（12㎜厚安全钢化玻璃）</w:t>
                  </w:r>
                  <w:r>
                    <w:br/>
                  </w:r>
                  <w:r>
                    <w:rPr>
                      <w:rFonts w:ascii="仿宋_GB2312" w:hAnsi="仿宋_GB2312" w:cs="仿宋_GB2312" w:eastAsia="仿宋_GB2312"/>
                      <w:sz w:val="28"/>
                      <w:color w:val="000000"/>
                    </w:rPr>
                    <w:t xml:space="preserve"> 5.篮圈 三簧篮圈抗弯性能好，能有效解决投篮时篮圈的稳定性和运动员扣篮时的安全性问题。 </w:t>
                  </w:r>
                  <w:r>
                    <w:br/>
                  </w:r>
                  <w:r>
                    <w:rPr>
                      <w:rFonts w:ascii="仿宋_GB2312" w:hAnsi="仿宋_GB2312" w:cs="仿宋_GB2312" w:eastAsia="仿宋_GB2312"/>
                      <w:sz w:val="28"/>
                      <w:color w:val="000000"/>
                    </w:rPr>
                    <w:t xml:space="preserve"> 6.防护措施篮架前立柱、底座、伸臂配备有专用护套（5厘米厚），能有效保护运动员免受撞击</w:t>
                  </w:r>
                  <w:r>
                    <w:br/>
                  </w:r>
                  <w:r>
                    <w:rPr>
                      <w:rFonts w:ascii="仿宋_GB2312" w:hAnsi="仿宋_GB2312" w:cs="仿宋_GB2312" w:eastAsia="仿宋_GB2312"/>
                      <w:sz w:val="28"/>
                      <w:color w:val="000000"/>
                    </w:rPr>
                    <w:t xml:space="preserve"> 7.表面处理所有钢制件表面均经机械高压打沙处理后在喷涂专用生产线上采用静电环氧基粉末喷涂完成最后表面处理</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4项</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b/>
                      <w:color w:val="000000"/>
                    </w:rPr>
                    <w:t>3</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乒乓球台</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台面规格：2740×1525mm，台腿采用直径为Φ60×2.75mm，彩虹式支架。台面采用SMC片状模塑料，台面面板厚度5mm，翻边宽度50mm，翻边厚度7mm。边框20x30x1.2mm方管，四横四纵托架。挡网：不锈钢网。三维：2740mmx1525mmx760mm</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1副</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b/>
                      <w:color w:val="000000"/>
                    </w:rPr>
                    <w:t>4</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悬浮地板</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1、规格：50㎝×50㎝×1.6㎝，单块克重：825克±5g。</w:t>
                  </w:r>
                  <w:r>
                    <w:br/>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2、产品描述：拼装地板采用高性能聚丙烯材料，一体结构，专利设计，具备良好抗冲击性能；背部密集支撑，提供出色的结构稳定性；产品耐候性能优异，不受气候、自然温度影响，面层三十六宫格设计，碎石防滑纹理，向日葵图案，软连接链接，排水快速，不打滑，产品性能稳定，硬度适中，有效降低人员摔倒擦伤，减少运动损伤。拼装地板优异的冲击吸收性能减少力量对身体的冲击，保护运动员关节部位。</w:t>
                  </w:r>
                  <w:r>
                    <w:br/>
                  </w:r>
                  <w:r>
                    <w:rPr>
                      <w:rFonts w:ascii="仿宋_GB2312" w:hAnsi="仿宋_GB2312" w:cs="仿宋_GB2312" w:eastAsia="仿宋_GB2312"/>
                      <w:sz w:val="28"/>
                      <w:color w:val="000000"/>
                    </w:rPr>
                    <w:t xml:space="preserve"> 3、球反弹：≥96%，垂直变形：≤1.5㎜，摩擦系数：≥0.4，抗滑值:≥47（湿测）；</w:t>
                  </w:r>
                  <w:r>
                    <w:br/>
                  </w:r>
                  <w:r>
                    <w:rPr>
                      <w:rFonts w:ascii="仿宋_GB2312" w:hAnsi="仿宋_GB2312" w:cs="仿宋_GB2312" w:eastAsia="仿宋_GB2312"/>
                      <w:sz w:val="28"/>
                      <w:color w:val="000000"/>
                    </w:rPr>
                    <w:t xml:space="preserve"> ■4、材料测试：拉伸强度≥17Mpa，断裂标称应变≥350%，耐旋转磨耗（耐磨性）≤31mg，球压痕硬度≥31N/㎜²，维卡软化温度≥43℃，传热介质硅油，升温速率50℃/h，负荷50N ，弯曲强度≥ 21Mpa，静曲强度≥17MPa，弯曲模量≥820 Mpa，弹性模量≥880 Mpa。</w:t>
                  </w:r>
                  <w:r>
                    <w:br/>
                  </w:r>
                  <w:r>
                    <w:rPr>
                      <w:rFonts w:ascii="仿宋_GB2312" w:hAnsi="仿宋_GB2312" w:cs="仿宋_GB2312" w:eastAsia="仿宋_GB2312"/>
                      <w:sz w:val="28"/>
                      <w:color w:val="000000"/>
                    </w:rPr>
                    <w:t xml:space="preserve"> ■5、色牢度：耐光色牢度≥8级，耐水色牢度4-5级，耐汗渍色牢度4-5级。</w:t>
                  </w:r>
                  <w:r>
                    <w:br/>
                  </w:r>
                  <w:r>
                    <w:rPr>
                      <w:rFonts w:ascii="仿宋_GB2312" w:hAnsi="仿宋_GB2312" w:cs="仿宋_GB2312" w:eastAsia="仿宋_GB2312"/>
                      <w:sz w:val="28"/>
                      <w:color w:val="000000"/>
                    </w:rPr>
                    <w:t xml:space="preserve"> ■6、锁扣拉力强度≥4KN/m（拉伸速度100±5mm/min），加热尺寸变化率：横向(TD)≤0.12%  纵向(MD)≤0.21% ；测试时间≥6h温度≥80℃），冷热翘曲： ≤0.55mm、（测试温度5℃-35℃循环测试，且测试时间≥72小时）。</w:t>
                  </w:r>
                  <w:r>
                    <w:br/>
                  </w:r>
                  <w:r>
                    <w:rPr>
                      <w:rFonts w:ascii="仿宋_GB2312" w:hAnsi="仿宋_GB2312" w:cs="仿宋_GB2312" w:eastAsia="仿宋_GB2312"/>
                      <w:sz w:val="28"/>
                      <w:color w:val="000000"/>
                    </w:rPr>
                    <w:t xml:space="preserve"> 7、地板中有害物质含量、有害物质释放量符合国标要求。</w:t>
                  </w:r>
                  <w:r>
                    <w:br/>
                  </w:r>
                  <w:r>
                    <w:rPr>
                      <w:rFonts w:ascii="仿宋_GB2312" w:hAnsi="仿宋_GB2312" w:cs="仿宋_GB2312" w:eastAsia="仿宋_GB2312"/>
                      <w:sz w:val="28"/>
                      <w:color w:val="000000"/>
                    </w:rPr>
                    <w:t xml:space="preserve"> ■8、综合老化测试（氙灯、紫外、盐雾、臭氧）：累计测试时间≥1510h，测试项目≥4，测试结果：灰标等级4-5级、起泡等级0（So）、生锈等级0（So）、开裂等级0（So）、剥落等级0（So）、粉化等级0级；</w:t>
                  </w:r>
                  <w:r>
                    <w:br/>
                  </w:r>
                  <w:r>
                    <w:rPr>
                      <w:rFonts w:ascii="仿宋_GB2312" w:hAnsi="仿宋_GB2312" w:cs="仿宋_GB2312" w:eastAsia="仿宋_GB2312"/>
                      <w:sz w:val="28"/>
                      <w:color w:val="000000"/>
                    </w:rPr>
                    <w:t xml:space="preserve"> ■9、紫外荧光老化10000小时后外观检测，无开裂，无翘曲，无发粘，无毛刺，无龟裂，无起泡，无塑化不良,，灰卡等级≥4，检测依据GB/T16422.3-2022最新标准；需提供对应的检验报告。</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3600平米</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5</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告示牌</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1.外形尺寸（长×宽×高）≥1140mm×130mm×1300mm；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4.主要承载横梁尺寸≥25×25×3mm</w:t>
                  </w:r>
                  <w:r>
                    <w:br/>
                  </w:r>
                  <w:r>
                    <w:rPr>
                      <w:rFonts w:ascii="仿宋_GB2312" w:hAnsi="仿宋_GB2312" w:cs="仿宋_GB2312" w:eastAsia="仿宋_GB2312"/>
                      <w:sz w:val="28"/>
                      <w:color w:val="000000"/>
                    </w:rPr>
                    <w:t xml:space="preserve"> ★5.告示牌采用不锈钢材质，整体式板面，板材厚度≥1mm，图样及字样蚀刻处理，不锈钢板边缘及尖角无外露；</w:t>
                  </w:r>
                  <w:r>
                    <w:br/>
                  </w:r>
                  <w:r>
                    <w:rPr>
                      <w:rFonts w:ascii="仿宋_GB2312" w:hAnsi="仿宋_GB2312" w:cs="仿宋_GB2312" w:eastAsia="仿宋_GB2312"/>
                      <w:sz w:val="28"/>
                      <w:color w:val="000000"/>
                    </w:rPr>
                    <w:t xml:space="preserve"> 6.安装方式：直埋式；</w:t>
                  </w:r>
                  <w:r>
                    <w:br/>
                  </w:r>
                  <w:r>
                    <w:rPr>
                      <w:rFonts w:ascii="仿宋_GB2312" w:hAnsi="仿宋_GB2312" w:cs="仿宋_GB2312" w:eastAsia="仿宋_GB2312"/>
                      <w:sz w:val="28"/>
                      <w:color w:val="000000"/>
                    </w:rPr>
                    <w:t xml:space="preserve"> 7.表面处理工艺：脱脂—抛丸—静电喷塑</w:t>
                  </w:r>
                  <w:r>
                    <w:br/>
                  </w:r>
                  <w:r>
                    <w:rPr>
                      <w:rFonts w:ascii="仿宋_GB2312" w:hAnsi="仿宋_GB2312" w:cs="仿宋_GB2312" w:eastAsia="仿宋_GB2312"/>
                      <w:sz w:val="28"/>
                      <w:color w:val="000000"/>
                    </w:rPr>
                    <w:t xml:space="preserve"> ★8、产品应符合GB19272-2011要求且经国家批准的器材质量认证机构的产品质量认证。需提供经国家批准的器材质量认证机构出具的有效期内的产品认证证书（如认证证书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★9、产品应符合GB19272-2011要求并检验合格（须提供经CMA认证的检测机构出具的检测报告扫描件）。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6</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骑马机（</w:t>
                  </w:r>
                  <w:r>
                    <w:rPr>
                      <w:rFonts w:ascii="仿宋_GB2312" w:hAnsi="仿宋_GB2312" w:cs="仿宋_GB2312" w:eastAsia="仿宋_GB2312"/>
                      <w:sz w:val="28"/>
                      <w:color w:val="000000"/>
                    </w:rPr>
                    <w:t>健骑机</w:t>
                  </w:r>
                  <w:r>
                    <w:rPr>
                      <w:rFonts w:ascii="仿宋_GB2312" w:hAnsi="仿宋_GB2312" w:cs="仿宋_GB2312" w:eastAsia="仿宋_GB2312"/>
                      <w:sz w:val="28"/>
                      <w:color w:val="000000"/>
                    </w:rPr>
                    <w:t>）</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1.外形尺寸（长×宽×高）≥1400mm×400mm×950mm；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60×3mm</w:t>
                  </w:r>
                  <w:r>
                    <w:br/>
                  </w:r>
                  <w:r>
                    <w:rPr>
                      <w:rFonts w:ascii="仿宋_GB2312" w:hAnsi="仿宋_GB2312" w:cs="仿宋_GB2312" w:eastAsia="仿宋_GB2312"/>
                      <w:sz w:val="28"/>
                      <w:color w:val="000000"/>
                    </w:rPr>
                    <w:t xml:space="preserve"> 5.活动部件底面与其他部件的间距≥80mm，无腿脚卡夹；</w:t>
                  </w:r>
                  <w:r>
                    <w:br/>
                  </w:r>
                  <w:r>
                    <w:rPr>
                      <w:rFonts w:ascii="仿宋_GB2312" w:hAnsi="仿宋_GB2312" w:cs="仿宋_GB2312" w:eastAsia="仿宋_GB2312"/>
                      <w:sz w:val="28"/>
                      <w:color w:val="000000"/>
                    </w:rPr>
                    <w:t xml:space="preserve"> 6.器材活动部件下底面与地面的距离≥400mm，无身体卡夹；</w:t>
                  </w:r>
                  <w:r>
                    <w:br/>
                  </w:r>
                  <w:r>
                    <w:rPr>
                      <w:rFonts w:ascii="仿宋_GB2312" w:hAnsi="仿宋_GB2312" w:cs="仿宋_GB2312" w:eastAsia="仿宋_GB2312"/>
                      <w:sz w:val="28"/>
                      <w:color w:val="000000"/>
                    </w:rPr>
                    <w:t xml:space="preserve"> 7.安装方式：直埋式；</w:t>
                  </w:r>
                  <w:r>
                    <w:br/>
                  </w:r>
                  <w:r>
                    <w:rPr>
                      <w:rFonts w:ascii="仿宋_GB2312" w:hAnsi="仿宋_GB2312" w:cs="仿宋_GB2312" w:eastAsia="仿宋_GB2312"/>
                      <w:sz w:val="28"/>
                      <w:color w:val="000000"/>
                    </w:rPr>
                    <w:t xml:space="preserve"> 8.表面处理工艺：脱脂—抛丸—静电喷塑</w:t>
                  </w:r>
                  <w:r>
                    <w:br/>
                  </w:r>
                  <w:r>
                    <w:rPr>
                      <w:rFonts w:ascii="仿宋_GB2312" w:hAnsi="仿宋_GB2312" w:cs="仿宋_GB2312" w:eastAsia="仿宋_GB2312"/>
                      <w:sz w:val="28"/>
                      <w:color w:val="000000"/>
                    </w:rPr>
                    <w:t xml:space="preserve"> ★9、产品应符合GB19272-2011要求且经国家批准的器材质量认证机构的产品质量认证。需提供经国家批准的器材质量认证机构出具的有效期内的产品认证证书（如认证证书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★10、产品应符合GB19272-2011要求并检验合格（须提供经CMA认证的检测机构出具的检测报告扫描件）。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7</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太极揉推器</w:t>
                  </w:r>
                  <w:r>
                    <w:rPr>
                      <w:rFonts w:ascii="仿宋_GB2312" w:hAnsi="仿宋_GB2312" w:cs="仿宋_GB2312" w:eastAsia="仿宋_GB2312"/>
                      <w:sz w:val="28"/>
                      <w:color w:val="000000"/>
                    </w:rPr>
                    <w:t>（太极揉推轮）</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1.外形尺寸（长×宽×高）≥1100×1050×1350mm；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60×3mm</w:t>
                  </w:r>
                  <w:r>
                    <w:br/>
                  </w:r>
                  <w:r>
                    <w:rPr>
                      <w:rFonts w:ascii="仿宋_GB2312" w:hAnsi="仿宋_GB2312" w:cs="仿宋_GB2312" w:eastAsia="仿宋_GB2312"/>
                      <w:sz w:val="28"/>
                      <w:color w:val="000000"/>
                    </w:rPr>
                    <w:t xml:space="preserve"> 5.两转盘间的开口距离≥200mm；</w:t>
                  </w:r>
                  <w:r>
                    <w:br/>
                  </w:r>
                  <w:r>
                    <w:rPr>
                      <w:rFonts w:ascii="仿宋_GB2312" w:hAnsi="仿宋_GB2312" w:cs="仿宋_GB2312" w:eastAsia="仿宋_GB2312"/>
                      <w:sz w:val="28"/>
                      <w:color w:val="000000"/>
                    </w:rPr>
                    <w:t xml:space="preserve"> 6.安装方式：直埋式；</w:t>
                  </w:r>
                  <w:r>
                    <w:br/>
                  </w:r>
                  <w:r>
                    <w:rPr>
                      <w:rFonts w:ascii="仿宋_GB2312" w:hAnsi="仿宋_GB2312" w:cs="仿宋_GB2312" w:eastAsia="仿宋_GB2312"/>
                      <w:sz w:val="28"/>
                      <w:color w:val="000000"/>
                    </w:rPr>
                    <w:t xml:space="preserve"> 7.表面处理工艺：脱脂—抛丸—静电喷塑</w:t>
                  </w:r>
                  <w:r>
                    <w:br/>
                  </w:r>
                  <w:r>
                    <w:rPr>
                      <w:rFonts w:ascii="仿宋_GB2312" w:hAnsi="仿宋_GB2312" w:cs="仿宋_GB2312" w:eastAsia="仿宋_GB2312"/>
                      <w:sz w:val="28"/>
                      <w:color w:val="000000"/>
                    </w:rPr>
                    <w:t xml:space="preserve"> ★8、产品应符合GB19272-2011要求且经国家批准的器材质量认证机构的产品质量认证。需提供经国家批准的器材质量认证机构出具的有效期内的产品认证证书（如认证证书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★9、产品应符合GB19272-2011要求并检验合格（须提供经CMA认证的检测机构出具的检测报告扫描件）。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8</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三人扭腰器（三位扭腰器）</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1.外形尺寸（长×高）≥1500×1220mm；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30×3mm；</w:t>
                  </w:r>
                  <w:r>
                    <w:br/>
                  </w:r>
                  <w:r>
                    <w:rPr>
                      <w:rFonts w:ascii="仿宋_GB2312" w:hAnsi="仿宋_GB2312" w:cs="仿宋_GB2312" w:eastAsia="仿宋_GB2312"/>
                      <w:sz w:val="28"/>
                      <w:color w:val="000000"/>
                    </w:rPr>
                    <w:t xml:space="preserve"> 5.扭腰盘采用厚度≥3mm钢板制作；</w:t>
                  </w:r>
                  <w:r>
                    <w:br/>
                  </w:r>
                  <w:r>
                    <w:rPr>
                      <w:rFonts w:ascii="仿宋_GB2312" w:hAnsi="仿宋_GB2312" w:cs="仿宋_GB2312" w:eastAsia="仿宋_GB2312"/>
                      <w:sz w:val="28"/>
                      <w:color w:val="000000"/>
                    </w:rPr>
                    <w:t xml:space="preserve"> 6.安装方式：直埋式；</w:t>
                  </w:r>
                  <w:r>
                    <w:br/>
                  </w:r>
                  <w:r>
                    <w:rPr>
                      <w:rFonts w:ascii="仿宋_GB2312" w:hAnsi="仿宋_GB2312" w:cs="仿宋_GB2312" w:eastAsia="仿宋_GB2312"/>
                      <w:sz w:val="28"/>
                      <w:color w:val="000000"/>
                    </w:rPr>
                    <w:t xml:space="preserve"> 7.表面处理工艺：脱脂—抛丸—静电喷塑</w:t>
                  </w:r>
                  <w:r>
                    <w:br/>
                  </w:r>
                  <w:r>
                    <w:rPr>
                      <w:rFonts w:ascii="仿宋_GB2312" w:hAnsi="仿宋_GB2312" w:cs="仿宋_GB2312" w:eastAsia="仿宋_GB2312"/>
                      <w:sz w:val="28"/>
                      <w:color w:val="000000"/>
                    </w:rPr>
                    <w:t xml:space="preserve"> ★8、产品应符合GB19272-2011要求且经国家批准的器材质量认证机构的产品质量认证。需提供经国家批准的器材质量认证机构出具的有效期内的产品认证证书（如认证证书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★9、产品应符合GB19272-2011要求并检验合格（须提供经CMA认证的检测机构出具的检测报告扫描件）。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9</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上肢牵引器</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1.外形尺寸（长×宽×高）≥650×300×2350mm；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40×3mm</w:t>
                  </w:r>
                  <w:r>
                    <w:br/>
                  </w:r>
                  <w:r>
                    <w:rPr>
                      <w:rFonts w:ascii="仿宋_GB2312" w:hAnsi="仿宋_GB2312" w:cs="仿宋_GB2312" w:eastAsia="仿宋_GB2312"/>
                      <w:sz w:val="28"/>
                      <w:color w:val="000000"/>
                    </w:rPr>
                    <w:t xml:space="preserve"> 5.安装方式：直埋式；</w:t>
                  </w:r>
                  <w:r>
                    <w:br/>
                  </w:r>
                  <w:r>
                    <w:rPr>
                      <w:rFonts w:ascii="仿宋_GB2312" w:hAnsi="仿宋_GB2312" w:cs="仿宋_GB2312" w:eastAsia="仿宋_GB2312"/>
                      <w:sz w:val="28"/>
                      <w:color w:val="000000"/>
                    </w:rPr>
                    <w:t xml:space="preserve"> 6.表面处理工艺：脱脂—抛丸—静电喷塑</w:t>
                  </w:r>
                  <w:r>
                    <w:br/>
                  </w:r>
                  <w:r>
                    <w:rPr>
                      <w:rFonts w:ascii="仿宋_GB2312" w:hAnsi="仿宋_GB2312" w:cs="仿宋_GB2312" w:eastAsia="仿宋_GB2312"/>
                      <w:sz w:val="28"/>
                      <w:color w:val="000000"/>
                    </w:rPr>
                    <w:t xml:space="preserve"> ★7、产品应符合GB19272-2011要求且经国家批准的器材质量认证机构的产品质量认证。需提供经国家批准的器材质量认证机构出具的有效期内的产品认证证书（如认证证书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★8、产品应符合GB19272-2011要求并检验合格（须提供经CMA认证的检测机构出具的检测报告扫描件）。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10</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手掌按摩器</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1.外形尺寸（长×宽×高）≥700mm×650mm×1200mm；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35×3mm</w:t>
                  </w:r>
                  <w:r>
                    <w:br/>
                  </w:r>
                  <w:r>
                    <w:rPr>
                      <w:rFonts w:ascii="仿宋_GB2312" w:hAnsi="仿宋_GB2312" w:cs="仿宋_GB2312" w:eastAsia="仿宋_GB2312"/>
                      <w:sz w:val="28"/>
                      <w:color w:val="000000"/>
                    </w:rPr>
                    <w:t xml:space="preserve"> 5.安装方式：直埋式；</w:t>
                  </w:r>
                  <w:r>
                    <w:br/>
                  </w:r>
                  <w:r>
                    <w:rPr>
                      <w:rFonts w:ascii="仿宋_GB2312" w:hAnsi="仿宋_GB2312" w:cs="仿宋_GB2312" w:eastAsia="仿宋_GB2312"/>
                      <w:sz w:val="28"/>
                      <w:color w:val="000000"/>
                    </w:rPr>
                    <w:t xml:space="preserve"> 6.表面处理工艺：脱脂—抛丸—静电喷塑</w:t>
                  </w:r>
                  <w:r>
                    <w:br/>
                  </w:r>
                  <w:r>
                    <w:rPr>
                      <w:rFonts w:ascii="仿宋_GB2312" w:hAnsi="仿宋_GB2312" w:cs="仿宋_GB2312" w:eastAsia="仿宋_GB2312"/>
                      <w:sz w:val="28"/>
                      <w:color w:val="000000"/>
                    </w:rPr>
                    <w:t xml:space="preserve"> ★7、产品应符合GB19272-2011要求且经国家批准的器材质量认证机构的产品质量认证。需提供经国家批准的器材质量认证机构出具的有效期内的产品认证证书（如认证证书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★8、产品应符合GB19272-2011要求并检验合格（须提供经CMA认证的检测机构出具的检测报告扫描件）。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11</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腰背按摩器</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1.外形尺寸（长×宽×高）≥800×700×1450mm；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35×3mm</w:t>
                  </w:r>
                  <w:r>
                    <w:br/>
                  </w:r>
                  <w:r>
                    <w:rPr>
                      <w:rFonts w:ascii="仿宋_GB2312" w:hAnsi="仿宋_GB2312" w:cs="仿宋_GB2312" w:eastAsia="仿宋_GB2312"/>
                      <w:sz w:val="28"/>
                      <w:color w:val="000000"/>
                    </w:rPr>
                    <w:t xml:space="preserve"> 5.安装方式：直埋式；</w:t>
                  </w:r>
                  <w:r>
                    <w:br/>
                  </w:r>
                  <w:r>
                    <w:rPr>
                      <w:rFonts w:ascii="仿宋_GB2312" w:hAnsi="仿宋_GB2312" w:cs="仿宋_GB2312" w:eastAsia="仿宋_GB2312"/>
                      <w:sz w:val="28"/>
                      <w:color w:val="000000"/>
                    </w:rPr>
                    <w:t xml:space="preserve"> 6.表面处理工艺：脱脂—抛丸—静电喷塑</w:t>
                  </w:r>
                  <w:r>
                    <w:br/>
                  </w:r>
                  <w:r>
                    <w:rPr>
                      <w:rFonts w:ascii="仿宋_GB2312" w:hAnsi="仿宋_GB2312" w:cs="仿宋_GB2312" w:eastAsia="仿宋_GB2312"/>
                      <w:sz w:val="28"/>
                      <w:color w:val="000000"/>
                    </w:rPr>
                    <w:t xml:space="preserve"> ★7、产品应符合GB19272-2011要求且经国家批准的器材质量认证机构的产品质量认证。需提供经国家批准的器材质量认证机构出具的有效期内的产品认证证书（如认证证书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★8、产品应符合GB19272-2011要求并检验合格（须提供经CMA认证的检测机构出具的检测报告扫描件）。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12</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斜躺健身车</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1.外形尺寸（长×宽×高）≥1150mm×600mm×850mm；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60×3mm；</w:t>
                  </w:r>
                  <w:r>
                    <w:br/>
                  </w:r>
                  <w:r>
                    <w:rPr>
                      <w:rFonts w:ascii="仿宋_GB2312" w:hAnsi="仿宋_GB2312" w:cs="仿宋_GB2312" w:eastAsia="仿宋_GB2312"/>
                      <w:sz w:val="28"/>
                      <w:color w:val="000000"/>
                    </w:rPr>
                    <w:t xml:space="preserve"> 5.踏板与地面间距≥80mm；</w:t>
                  </w:r>
                  <w:r>
                    <w:br/>
                  </w:r>
                  <w:r>
                    <w:rPr>
                      <w:rFonts w:ascii="仿宋_GB2312" w:hAnsi="仿宋_GB2312" w:cs="仿宋_GB2312" w:eastAsia="仿宋_GB2312"/>
                      <w:sz w:val="28"/>
                      <w:color w:val="000000"/>
                    </w:rPr>
                    <w:t xml:space="preserve"> 6.安装方式：直埋式；</w:t>
                  </w:r>
                  <w:r>
                    <w:br/>
                  </w:r>
                  <w:r>
                    <w:rPr>
                      <w:rFonts w:ascii="仿宋_GB2312" w:hAnsi="仿宋_GB2312" w:cs="仿宋_GB2312" w:eastAsia="仿宋_GB2312"/>
                      <w:sz w:val="28"/>
                      <w:color w:val="000000"/>
                    </w:rPr>
                    <w:t xml:space="preserve"> 7.表面处理工艺：脱脂—抛丸—静电喷塑</w:t>
                  </w:r>
                  <w:r>
                    <w:br/>
                  </w:r>
                  <w:r>
                    <w:rPr>
                      <w:rFonts w:ascii="仿宋_GB2312" w:hAnsi="仿宋_GB2312" w:cs="仿宋_GB2312" w:eastAsia="仿宋_GB2312"/>
                      <w:sz w:val="28"/>
                      <w:color w:val="000000"/>
                    </w:rPr>
                    <w:t xml:space="preserve"> ★8、产品应符合GB19272-2011要求且经国家批准的器材质量认证机构的产品质量认证。需提供经国家批准的器材质量认证机构出具的有效期内的产品认证证书（如认证证书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★9、产品应符合GB19272-2011要求并检验合格（须提供经CMA认证的检测机构出具的检测报告扫描件）。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13</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钟摆扭腰器</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1.外形尺寸（长×宽×高）≥1000×600×1050mm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3.主要承载立柱尺寸≥100×70×3mm；</w:t>
                  </w:r>
                  <w:r>
                    <w:br/>
                  </w:r>
                  <w:r>
                    <w:rPr>
                      <w:rFonts w:ascii="仿宋_GB2312" w:hAnsi="仿宋_GB2312" w:cs="仿宋_GB2312" w:eastAsia="仿宋_GB2312"/>
                      <w:sz w:val="28"/>
                      <w:color w:val="000000"/>
                    </w:rPr>
                    <w:t xml:space="preserve"> 4.主要承载横梁尺寸≥40×60×3mm</w:t>
                  </w:r>
                  <w:r>
                    <w:br/>
                  </w:r>
                  <w:r>
                    <w:rPr>
                      <w:rFonts w:ascii="仿宋_GB2312" w:hAnsi="仿宋_GB2312" w:cs="仿宋_GB2312" w:eastAsia="仿宋_GB2312"/>
                      <w:sz w:val="28"/>
                      <w:color w:val="000000"/>
                    </w:rPr>
                    <w:t xml:space="preserve"> 5.扭腰盘采用厚度≥3mm钢板制作，钟摆踏板底部距离地面95mm，6.活动摆杆距离立柱≥60mm；</w:t>
                  </w:r>
                  <w:r>
                    <w:br/>
                  </w:r>
                  <w:r>
                    <w:rPr>
                      <w:rFonts w:ascii="仿宋_GB2312" w:hAnsi="仿宋_GB2312" w:cs="仿宋_GB2312" w:eastAsia="仿宋_GB2312"/>
                      <w:sz w:val="28"/>
                      <w:color w:val="000000"/>
                    </w:rPr>
                    <w:t xml:space="preserve"> 7.安装方式：直埋式；</w:t>
                  </w:r>
                  <w:r>
                    <w:br/>
                  </w:r>
                  <w:r>
                    <w:rPr>
                      <w:rFonts w:ascii="仿宋_GB2312" w:hAnsi="仿宋_GB2312" w:cs="仿宋_GB2312" w:eastAsia="仿宋_GB2312"/>
                      <w:sz w:val="28"/>
                      <w:color w:val="000000"/>
                    </w:rPr>
                    <w:t xml:space="preserve"> 8.表面处理工艺：脱脂—抛丸—静电喷塑</w:t>
                  </w:r>
                  <w:r>
                    <w:br/>
                  </w:r>
                  <w:r>
                    <w:rPr>
                      <w:rFonts w:ascii="仿宋_GB2312" w:hAnsi="仿宋_GB2312" w:cs="仿宋_GB2312" w:eastAsia="仿宋_GB2312"/>
                      <w:sz w:val="28"/>
                      <w:color w:val="000000"/>
                    </w:rPr>
                    <w:t xml:space="preserve"> ★9、产品应符合GB19272-2011要求且经国家批准的器材质量认证机构的产品质量认证。需提供经国家批准的器材质量认证机构出具的有效期内的产品认证证书（如认证证书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★10、产品应符合GB19272-2011要求并检验合格（须提供经CMA认证的检测机构出具的检测报告扫描件）。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14</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伸腰展背器</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1.外形尺寸（长×宽×高）≥1150×500×950mm</w:t>
                  </w:r>
                  <w:r>
                    <w:br/>
                  </w:r>
                  <w:r>
                    <w:rPr>
                      <w:rFonts w:ascii="仿宋_GB2312" w:hAnsi="仿宋_GB2312" w:cs="仿宋_GB2312" w:eastAsia="仿宋_GB2312"/>
                      <w:sz w:val="28"/>
                      <w:color w:val="000000"/>
                    </w:rPr>
                    <w:t xml:space="preserve"> ★2.材质为钢管、铝合金、塑木或钢管、塑木复核结构；</w:t>
                  </w:r>
                  <w:r>
                    <w:br/>
                  </w:r>
                  <w:r>
                    <w:rPr>
                      <w:rFonts w:ascii="仿宋_GB2312" w:hAnsi="仿宋_GB2312" w:cs="仿宋_GB2312" w:eastAsia="仿宋_GB2312"/>
                      <w:sz w:val="28"/>
                      <w:color w:val="000000"/>
                    </w:rPr>
                    <w:t xml:space="preserve"> 3.主要承载立柱尺寸≥100×80×3mm；</w:t>
                  </w:r>
                  <w:r>
                    <w:br/>
                  </w:r>
                  <w:r>
                    <w:rPr>
                      <w:rFonts w:ascii="仿宋_GB2312" w:hAnsi="仿宋_GB2312" w:cs="仿宋_GB2312" w:eastAsia="仿宋_GB2312"/>
                      <w:sz w:val="28"/>
                      <w:color w:val="000000"/>
                    </w:rPr>
                    <w:t xml:space="preserve"> 4.主要承载横梁尺寸≥</w:t>
                  </w:r>
                  <w:r>
                    <w:rPr>
                      <w:rFonts w:ascii="仿宋_GB2312" w:hAnsi="仿宋_GB2312" w:cs="仿宋_GB2312" w:eastAsia="仿宋_GB2312"/>
                      <w:sz w:val="28"/>
                      <w:color w:val="000000"/>
                    </w:rPr>
                    <w:t>φ</w:t>
                  </w:r>
                  <w:r>
                    <w:rPr>
                      <w:rFonts w:ascii="仿宋_GB2312" w:hAnsi="仿宋_GB2312" w:cs="仿宋_GB2312" w:eastAsia="仿宋_GB2312"/>
                      <w:sz w:val="28"/>
                      <w:color w:val="000000"/>
                    </w:rPr>
                    <w:t>40×3mm；</w:t>
                  </w:r>
                  <w:r>
                    <w:br/>
                  </w:r>
                  <w:r>
                    <w:rPr>
                      <w:rFonts w:ascii="仿宋_GB2312" w:hAnsi="仿宋_GB2312" w:cs="仿宋_GB2312" w:eastAsia="仿宋_GB2312"/>
                      <w:sz w:val="28"/>
                      <w:color w:val="000000"/>
                    </w:rPr>
                    <w:t xml:space="preserve"> 5.安装方式：直埋式；</w:t>
                  </w:r>
                  <w:r>
                    <w:br/>
                  </w:r>
                  <w:r>
                    <w:rPr>
                      <w:rFonts w:ascii="仿宋_GB2312" w:hAnsi="仿宋_GB2312" w:cs="仿宋_GB2312" w:eastAsia="仿宋_GB2312"/>
                      <w:sz w:val="28"/>
                      <w:color w:val="000000"/>
                    </w:rPr>
                    <w:t xml:space="preserve"> 6.表面处理工艺：脱脂—抛丸—静电喷塑；</w:t>
                  </w:r>
                  <w:r>
                    <w:br/>
                  </w:r>
                  <w:r>
                    <w:rPr>
                      <w:rFonts w:ascii="仿宋_GB2312" w:hAnsi="仿宋_GB2312" w:cs="仿宋_GB2312" w:eastAsia="仿宋_GB2312"/>
                      <w:sz w:val="28"/>
                      <w:color w:val="000000"/>
                    </w:rPr>
                    <w:t xml:space="preserve"> ★7、产品应符合GB19272-2011要求且经国家批准的器材质量认证机构的产品质量认证。需提供经国家批准的器材质量认证机构出具的有效期内的产品认证证书（如认证证书  和确认函一并使用方有效，还需要提供确认函），同时需提供该认证信息在全国认证认可信息公共服务平台（http://cx.cnca.cn）的查询截图）；</w:t>
                  </w:r>
                  <w:r>
                    <w:br/>
                  </w:r>
                  <w:r>
                    <w:rPr>
                      <w:rFonts w:ascii="仿宋_GB2312" w:hAnsi="仿宋_GB2312" w:cs="仿宋_GB2312" w:eastAsia="仿宋_GB2312"/>
                      <w:sz w:val="28"/>
                      <w:color w:val="000000"/>
                    </w:rPr>
                    <w:t xml:space="preserve"> ★8、产品应符合GB19272-2011要求并检验合格（须提供经CMA认证的检测机构出具的检测报告扫描件）。</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1件</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15</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排球柱</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1.规格（长×宽×高）≥12500×700×2100mm；</w:t>
                  </w:r>
                  <w:r>
                    <w:br/>
                  </w:r>
                  <w:r>
                    <w:rPr>
                      <w:rFonts w:ascii="仿宋_GB2312" w:hAnsi="仿宋_GB2312" w:cs="仿宋_GB2312" w:eastAsia="仿宋_GB2312"/>
                      <w:sz w:val="28"/>
                      <w:color w:val="000000"/>
                    </w:rPr>
                    <w:t xml:space="preserve"> 2.立柱规格≥φ75×3mm；</w:t>
                  </w:r>
                  <w:r>
                    <w:br/>
                  </w:r>
                  <w:r>
                    <w:rPr>
                      <w:rFonts w:ascii="仿宋_GB2312" w:hAnsi="仿宋_GB2312" w:cs="仿宋_GB2312" w:eastAsia="仿宋_GB2312"/>
                      <w:sz w:val="28"/>
                      <w:color w:val="000000"/>
                    </w:rPr>
                    <w:t xml:space="preserve"> 3.立柱高度≥2000mm，立柱上部内嵌滑轮装置，一侧立柱有紧线装置；</w:t>
                  </w:r>
                  <w:r>
                    <w:br/>
                  </w:r>
                  <w:r>
                    <w:rPr>
                      <w:rFonts w:ascii="仿宋_GB2312" w:hAnsi="仿宋_GB2312" w:cs="仿宋_GB2312" w:eastAsia="仿宋_GB2312"/>
                      <w:sz w:val="28"/>
                      <w:color w:val="000000"/>
                    </w:rPr>
                    <w:t xml:space="preserve"> 4.底座箱体有轮毂装置。</w:t>
                  </w:r>
                  <w:r>
                    <w:br/>
                  </w:r>
                  <w:r>
                    <w:rPr>
                      <w:rFonts w:ascii="仿宋_GB2312" w:hAnsi="仿宋_GB2312" w:cs="仿宋_GB2312" w:eastAsia="仿宋_GB2312"/>
                      <w:sz w:val="28"/>
                      <w:color w:val="000000"/>
                    </w:rPr>
                    <w:t xml:space="preserve"> 5.符合GB/T19851.13标准要求。</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1副</w:t>
                  </w:r>
                </w:p>
              </w:tc>
            </w:tr>
            <w:tr>
              <w:tc>
                <w:tcPr>
                  <w:tcW w:type="dxa" w:w="14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16</w:t>
                  </w:r>
                </w:p>
              </w:tc>
              <w:tc>
                <w:tcPr>
                  <w:tcW w:type="dxa" w:w="2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羽毛球柱</w:t>
                  </w:r>
                </w:p>
              </w:tc>
              <w:tc>
                <w:tcPr>
                  <w:tcW w:type="dxa" w:w="191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5"/>
                    <w:jc w:val="left"/>
                  </w:pPr>
                  <w:r>
                    <w:rPr>
                      <w:rFonts w:ascii="仿宋_GB2312" w:hAnsi="仿宋_GB2312" w:cs="仿宋_GB2312" w:eastAsia="仿宋_GB2312"/>
                      <w:sz w:val="28"/>
                      <w:color w:val="000000"/>
                    </w:rPr>
                    <w:t>1.规格（长×宽×高）≥7300×350×1500mm；</w:t>
                  </w:r>
                  <w:r>
                    <w:br/>
                  </w:r>
                  <w:r>
                    <w:rPr>
                      <w:rFonts w:ascii="仿宋_GB2312" w:hAnsi="仿宋_GB2312" w:cs="仿宋_GB2312" w:eastAsia="仿宋_GB2312"/>
                      <w:sz w:val="28"/>
                      <w:color w:val="000000"/>
                    </w:rPr>
                    <w:t xml:space="preserve"> 2.立柱≥φ40×3mm；</w:t>
                  </w:r>
                  <w:r>
                    <w:br/>
                  </w:r>
                  <w:r>
                    <w:rPr>
                      <w:rFonts w:ascii="仿宋_GB2312" w:hAnsi="仿宋_GB2312" w:cs="仿宋_GB2312" w:eastAsia="仿宋_GB2312"/>
                      <w:sz w:val="28"/>
                      <w:color w:val="000000"/>
                    </w:rPr>
                    <w:t xml:space="preserve"> 3.立柱高度≥1500mm，立柱法兰厚度≥7mm，立柱上部内嵌滑轮；</w:t>
                  </w:r>
                  <w:r>
                    <w:br/>
                  </w:r>
                  <w:r>
                    <w:rPr>
                      <w:rFonts w:ascii="仿宋_GB2312" w:hAnsi="仿宋_GB2312" w:cs="仿宋_GB2312" w:eastAsia="仿宋_GB2312"/>
                      <w:sz w:val="28"/>
                      <w:color w:val="000000"/>
                    </w:rPr>
                    <w:t xml:space="preserve"> 4.底座箱体有轮毂装置，一侧立柱上有紧线器装置。</w:t>
                  </w:r>
                  <w:r>
                    <w:br/>
                  </w:r>
                  <w:r>
                    <w:rPr>
                      <w:rFonts w:ascii="仿宋_GB2312" w:hAnsi="仿宋_GB2312" w:cs="仿宋_GB2312" w:eastAsia="仿宋_GB2312"/>
                      <w:sz w:val="28"/>
                      <w:color w:val="000000"/>
                    </w:rPr>
                    <w:t xml:space="preserve"> 5.符合GB/T19851.13标准要求。</w:t>
                  </w:r>
                </w:p>
              </w:tc>
              <w:tc>
                <w:tcPr>
                  <w:tcW w:type="dxa" w:w="2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3副</w:t>
                  </w:r>
                </w:p>
              </w:tc>
            </w:tr>
            <w:tr>
              <w:tc>
                <w:tcPr>
                  <w:tcW w:type="dxa" w:w="2551"/>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备注：打“★”号条款为实质性条款，若有任何一条负偏离或不满足则导致投标无效。</w:t>
                  </w:r>
                </w:p>
              </w:tc>
            </w:tr>
          </w:tbl>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技术参数要求</w:t>
            </w:r>
          </w:p>
        </w:tc>
        <w:tc>
          <w:tcPr>
            <w:tcW w:type="dxa" w:w="3115"/>
          </w:tcPr>
          <w:p>
            <w:pPr>
              <w:pStyle w:val="null5"/>
              <w:jc w:val="left"/>
            </w:pPr>
            <w:r>
              <w:rPr>
                <w:rFonts w:ascii="仿宋_GB2312" w:hAnsi="仿宋_GB2312" w:cs="仿宋_GB2312" w:eastAsia="仿宋_GB2312"/>
              </w:rPr>
              <w:t>技术参数全部满足招标文件要求的得20分.根据所投产品技术参数进行评审 。其中标注标记“★”项为实质性条款，技术参数及其佐证材料不满足招标文件要求的为投标无效；标“■”的为重要技术参数， 每有一项不满足扣0.5分，未标记的为其他技术参数每有一项不满足扣0.2分，扣完20分为止。（注：所有技术参数需要供佐证材料，包括：检测报告，或鉴定证书，或技术白皮书，或说明书，或网站截图，或产品彩页或投标人认为需要提供的其他技术资料等技术佐证文件。为防止误评或漏评，供应商需在其技术规格响应表中写明相应的佐证材料的名称、页码、用于佐证第几条并在佐证材料上使用下划线、文本框等方式加以明显标记。）</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根据投标供应商提供的供货调试方案进行评审，依据项目需求，提供的安装调试方案（包括但不限于供货方法、供货保障、供货时间安排、供货路线选择等内容）： ①方案内容完善详尽科学合理、重点难点把握控制到点到位，保证措施健全的，得10分； ②方案内容相对完善，合理、重点难点把握控制较好，质量保证措施较合理的，得7分； ③方案内容一般，、重点难点把握控制一般，质量保证措施一般的，得4分； ④方案内容较差， 重点难点把握控制较差，质量保证措施较差的，得1分； ⑤未提供不得分。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质量管理与保证措施</w:t>
            </w:r>
          </w:p>
        </w:tc>
        <w:tc>
          <w:tcPr>
            <w:tcW w:type="dxa" w:w="3115"/>
          </w:tcPr>
          <w:p>
            <w:pPr>
              <w:pStyle w:val="null5"/>
              <w:jc w:val="left"/>
            </w:pPr>
            <w:r>
              <w:rPr>
                <w:rFonts w:ascii="仿宋_GB2312" w:hAnsi="仿宋_GB2312" w:cs="仿宋_GB2312" w:eastAsia="仿宋_GB2312"/>
              </w:rPr>
              <w:t>根据投标供应商提供的质量管理与保证措施进行评审，依据项目需求，提供的质量管理与保证措施（包括但不限于质量管理体系，产品质量安全保证具体措施，安装质量保障措施、质量保证承诺等内容）： ①内容全面完整，有详细的阐述，能有效控制质量、安全问题，杜绝重大质量、安全事故发生，能确保供应品质的得10分； ②内容全面完整，阐述具体，能避免一般质量、安全事故发生的得7分； ③内容全面完整，阐述具体，质量、安全问题预控措施可执行性低的得4分； ④内容不完整、阐述简略的得1分 。 ⑤未提供的得0分。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w:t>
            </w:r>
          </w:p>
        </w:tc>
        <w:tc>
          <w:tcPr>
            <w:tcW w:type="dxa" w:w="3115"/>
          </w:tcPr>
          <w:p>
            <w:pPr>
              <w:pStyle w:val="null5"/>
              <w:jc w:val="left"/>
            </w:pPr>
            <w:r>
              <w:rPr>
                <w:rFonts w:ascii="仿宋_GB2312" w:hAnsi="仿宋_GB2312" w:cs="仿宋_GB2312" w:eastAsia="仿宋_GB2312"/>
              </w:rPr>
              <w:t>根据投标供应商提供的突发事件应急解决方案（包括但不限于人员安排、响应时间、解决问题时间、供货时间、出现不合格物品调配情况、遇到不可抗灾害天气状况等内容）进行评审： ①应急预案内容全面完整，措施有力，提供完善的应急组织管理，强有力的应急保障体系，充分的保障供应体系，能符合或优于本次项目实际采购需求，达到减少供应风险、物流延误风险、服务质量风险的得10分； ②应急预案全面，措施有力，能针对供货过程可能发生的事故情况，编制应急响应预案，且符合项目实际情况的得7分； ③应急预案内容完整，有基本措施，对供货过程可能发生的事故情况勉强处理，编制应急响应预案，勉强符合项目实际情况的得4分； ④应急预案内容有缺漏，应急处理措施不能起到提示或补救的得1分。 ⑤未提供不得分。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安装调试方案</w:t>
            </w:r>
          </w:p>
        </w:tc>
        <w:tc>
          <w:tcPr>
            <w:tcW w:type="dxa" w:w="3115"/>
          </w:tcPr>
          <w:p>
            <w:pPr>
              <w:pStyle w:val="null5"/>
              <w:jc w:val="left"/>
            </w:pPr>
            <w:r>
              <w:rPr>
                <w:rFonts w:ascii="仿宋_GB2312" w:hAnsi="仿宋_GB2312" w:cs="仿宋_GB2312" w:eastAsia="仿宋_GB2312"/>
              </w:rPr>
              <w:t>根据投标供应商提供的安装调试方案进行评审，依据项目需求，提供的安装调试方案（包括但不限于安装进度计划、安装调试人员配置、设施设备整体调试检验方案等内容）： ①方案内容完善详尽，人员配置科学合理、时间进度安排科学合理、重点难点把握控制到点到位，质量保证措施健全的，得5分； ②方案内容相对完善，人员配置合理、时间进度安排合理、重点难点把握控制较好，质量保证措施较合理的，得3分； ③方案内容一般，人员配置一般、时间进度安排一般、重点难点把握控制一般，质量保证措施一般的，得2分； ④方案内容较差，人员配置较差、时间进度安排较差、重点难点把握控制较差，质量保证措施较差的，得1分； ⑤未提供不得分。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供应商提供的售后服务方案进行评审，方案包括但不限于设备故障问题解决、故障处理时限响应、正常巡检、终身维护、配件供应、维修处理时限，明确相关负责人员，技术人员，现场服务条件及响应到位时间 、售后保障措施等： ①售后服务方案详细、具体、周到，响应速度快，解 决问题方案考虑全面，售后服务体系完全满足本次项目采购需求的得10分 ； ②售后服务方案相对详细、具体、周到，响应速度合理，解决问题方案考虑相对全面，有完善的售后服务体系相对满足本次项目采购需求的得7 分； ③售后服务方案不太详细、具体、周到，响应速度、解决问题方案、售后服务体系勉强满足本次项目采购需求的得4分； ④售后服务方案内容较差，响应速度、解决问题方案、售后服务体系不能满足本次项目采购需 求的的得1分； ⑤未提供不得分。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根据供应商提供的2022年1月1日至投标截止日前同类业绩进行评审，每提供一项业绩得1分，最高2分。（供应商需提供合同扫描件。未提供或提供不全不得分）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产品保险</w:t>
            </w:r>
          </w:p>
        </w:tc>
        <w:tc>
          <w:tcPr>
            <w:tcW w:type="dxa" w:w="3115"/>
          </w:tcPr>
          <w:p>
            <w:pPr>
              <w:pStyle w:val="null5"/>
              <w:jc w:val="left"/>
            </w:pPr>
            <w:r>
              <w:rPr>
                <w:rFonts w:ascii="仿宋_GB2312" w:hAnsi="仿宋_GB2312" w:cs="仿宋_GB2312" w:eastAsia="仿宋_GB2312"/>
              </w:rPr>
              <w:t>5-14项标的物投保产品质量险、产品责任险、公共责任险、人身意外险四种险种齐全的得3分，少投一种保险该项不得分。（需提供投标供应商或所投产品生产厂家缴纳的保险单和保险发票扫描件并加盖投标供应商公章，未提供不得分。如供应商提供的货物非同一生产厂家的产品，应提供所有生产厂家的证明材料。）</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