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兴安盟幼儿园第一分园新建项目室内精装修及室外活动场地工程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兴安盟本级政府投资非经营性项目代建中心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兴安盟公共资源交易中心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152203-NXZC-1-CS-20250001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兴安盟公共资源交易中心</w:t>
      </w:r>
      <w:r>
        <w:rPr>
          <w:rFonts w:ascii="仿宋_GB2312" w:hAnsi="仿宋_GB2312" w:cs="仿宋_GB2312" w:eastAsia="仿宋_GB2312"/>
        </w:rPr>
        <w:t xml:space="preserve"> 受 </w:t>
      </w:r>
      <w:r>
        <w:rPr>
          <w:rFonts w:ascii="仿宋_GB2312" w:hAnsi="仿宋_GB2312" w:cs="仿宋_GB2312" w:eastAsia="仿宋_GB2312"/>
        </w:rPr>
        <w:t>兴安盟本级政府投资非经营性项目代建中心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兴安盟幼儿园第一分园新建项目室内精装修及室外活动场地工程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兴安盟幼儿园第一分园新建项目室内精装修及室外活动场地工程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152203-NXZC-1-CS-20250001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兴财购计划[2025]00049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6,696,429.35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兴安盟幼儿园第一分园新建项目室内精装修及室外活动场地工程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6,696,429.35</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1、资质要求：供应商须具备建设行政主管部门颁发的有效期内的建筑工程施工总承包三级及以上资质，且具备有效的安全生产许可证，并在人员、设备、资金等方面具有相应的能力 人员要求： 项目经理：供应商拟派项目经理须具备建筑工程专业二级及以上注册建造师执业资格，并具备有效的安全生产考核合格证书，且未担任其他在施建设工程项目的项目经理。须提供未担任其他在施建设工程项目的项目经理的承诺书。</w:t>
      </w:r>
    </w:p>
    <w:p>
      <w:pPr>
        <w:pStyle w:val="null5"/>
        <w:jc w:val="left"/>
      </w:pPr>
      <w:r>
        <w:rPr>
          <w:rFonts w:ascii="仿宋_GB2312" w:hAnsi="仿宋_GB2312" w:cs="仿宋_GB2312" w:eastAsia="仿宋_GB2312"/>
        </w:rPr>
        <w:t>2、面向中小企业审查情况：参与的供应商（联合体）工程的施工单位全部为符合政策要求的中小企业</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兴安盟公共资源交易中心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内蒙古自治区兴安盟乌兰浩特市罕山中街83号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姚广军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13948289000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兴安盟本级政府投资非经营性项目代建中心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乌兰浩特市罕山中街83</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徐冰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13948216066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政府采购合同已上传附件为准</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兴安盟本级政府投资非经营性项目代建中心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兴安盟公共资源交易中心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兴安盟幼儿园第一分园新建项目室内精装修及室外活动场地工程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自合同签订起至2025年4月30日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兴安盟乌兰浩特市</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1、甲方与乙方签订采购合同后，支付合同价款（扣除暂列金）的50%作为预付款，达到付款条件起10日，支付合同总金额的50.00%</w:t>
            </w:r>
          </w:p>
          <w:p>
            <w:pPr>
              <w:pStyle w:val="null5"/>
              <w:jc w:val="left"/>
            </w:pPr>
            <w:r>
              <w:rPr>
                <w:rFonts w:ascii="仿宋_GB2312" w:hAnsi="仿宋_GB2312" w:cs="仿宋_GB2312" w:eastAsia="仿宋_GB2312"/>
              </w:rPr>
              <w:t>2、工程竣工验收合格后（苗木100%成活），支付至完成产值的80%（预付款抵做进度款，不予扣回），达到付款条件起10日，支付合同总金额的30.00%</w:t>
            </w:r>
          </w:p>
          <w:p>
            <w:pPr>
              <w:pStyle w:val="null5"/>
              <w:jc w:val="left"/>
            </w:pPr>
            <w:r>
              <w:rPr>
                <w:rFonts w:ascii="仿宋_GB2312" w:hAnsi="仿宋_GB2312" w:cs="仿宋_GB2312" w:eastAsia="仿宋_GB2312"/>
              </w:rPr>
              <w:t>3、工程结算审定后，支付至兴安盟财政投资核算中心审定工程结算价格的97%，达到付款条件起10日，支付合同总金额的17.00%</w:t>
            </w:r>
          </w:p>
          <w:p>
            <w:pPr>
              <w:pStyle w:val="null5"/>
              <w:jc w:val="left"/>
            </w:pPr>
            <w:r>
              <w:rPr>
                <w:rFonts w:ascii="仿宋_GB2312" w:hAnsi="仿宋_GB2312" w:cs="仿宋_GB2312" w:eastAsia="仿宋_GB2312"/>
              </w:rPr>
              <w:t>4、剩余工程结算价格的3%，待工程缺陷责任期24个月期满后予以支付，达到付款条件起10日，支付合同总金额的3.00%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标的名称：兴安盟幼儿园第一分园新建项目室内精装修及室外活动场地工程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供应商须具备建设行政主管部门颁发的有效期内的建筑工程施工总承包三级及以上资质，且具备有效的安全生产许可证，并在人员、设备、资金等方面具有相应的能力 人员要求： 项目经理：供应商拟派项目经理须具备建筑工程专业二级及以上注册建造师执业资格，并具备有效的安全生产考核合格证书，且未担任其他在施建设工程项目的项目经理。须提供未担任其他在施建设工程项目的项目经理的承诺书。</w:t>
            </w:r>
          </w:p>
        </w:tc>
      </w:tr>
      <w:tr>
        <w:tc>
          <w:tcPr>
            <w:tcW w:type="dxa" w:w="3322"/>
          </w:tcPr>
          <w:p>
            <w:pPr>
              <w:pStyle w:val="null5"/>
              <w:jc w:val="left"/>
            </w:pPr>
            <w:r>
              <w:rPr>
                <w:rFonts w:ascii="仿宋_GB2312" w:hAnsi="仿宋_GB2312" w:cs="仿宋_GB2312" w:eastAsia="仿宋_GB2312"/>
              </w:rPr>
              <w:t>面向中小企业审查情况</w:t>
            </w:r>
          </w:p>
        </w:tc>
        <w:tc>
          <w:tcPr>
            <w:tcW w:type="dxa" w:w="4984"/>
          </w:tcPr>
          <w:p>
            <w:pPr>
              <w:pStyle w:val="null5"/>
              <w:jc w:val="left"/>
            </w:pPr>
            <w:r>
              <w:rPr>
                <w:rFonts w:ascii="仿宋_GB2312" w:hAnsi="仿宋_GB2312" w:cs="仿宋_GB2312" w:eastAsia="仿宋_GB2312"/>
              </w:rPr>
              <w:t>参与的供应商（联合体）工程的施工单位全部为符合政策要求的中小企业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主要部位施工方法</w:t>
            </w:r>
          </w:p>
        </w:tc>
        <w:tc>
          <w:tcPr>
            <w:tcW w:type="dxa" w:w="3115"/>
          </w:tcPr>
          <w:p>
            <w:pPr>
              <w:pStyle w:val="null5"/>
              <w:jc w:val="left"/>
            </w:pPr>
            <w:r>
              <w:rPr>
                <w:rFonts w:ascii="仿宋_GB2312" w:hAnsi="仿宋_GB2312" w:cs="仿宋_GB2312" w:eastAsia="仿宋_GB2312"/>
              </w:rPr>
              <w:t>施工组织设计中主要部位施工方法正确，编制合理、内容全面具体且针对性强得8分； 主要部位施工方法基本合理、内容基本全面但针对性一般得6分；主要部位施工方法基本全面，缺乏针对性得4分； 主要部位施工方法不合理、内容不全面得2分。 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施工进度计划编制合理，内容全面具体，措施有力且针对性强得6分； 施工进度计划编制基本合理，内容基本全面，措施不明显，针对性一般得4分； 施工进度计划编制内容基本全面，缺乏措施及针对性得2分； 施工进度计划编制不合理，内容不全面得1分。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施工机械</w:t>
            </w:r>
          </w:p>
        </w:tc>
        <w:tc>
          <w:tcPr>
            <w:tcW w:type="dxa" w:w="3115"/>
          </w:tcPr>
          <w:p>
            <w:pPr>
              <w:pStyle w:val="null5"/>
              <w:jc w:val="left"/>
            </w:pPr>
            <w:r>
              <w:rPr>
                <w:rFonts w:ascii="仿宋_GB2312" w:hAnsi="仿宋_GB2312" w:cs="仿宋_GB2312" w:eastAsia="仿宋_GB2312"/>
              </w:rPr>
              <w:t>施工机械齐全，安排合理，较为完善得6分； 施工机械基本齐全，安排基本合理、基本完善得4分； 施工机械不齐全，较为一般得2分； 施工机械安排不合理不完善得1分；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材料使用计划</w:t>
            </w:r>
          </w:p>
        </w:tc>
        <w:tc>
          <w:tcPr>
            <w:tcW w:type="dxa" w:w="3115"/>
          </w:tcPr>
          <w:p>
            <w:pPr>
              <w:pStyle w:val="null5"/>
              <w:jc w:val="left"/>
            </w:pPr>
            <w:r>
              <w:rPr>
                <w:rFonts w:ascii="仿宋_GB2312" w:hAnsi="仿宋_GB2312" w:cs="仿宋_GB2312" w:eastAsia="仿宋_GB2312"/>
              </w:rPr>
              <w:t>材料使用计划安排合理，较为完善得6分； 材料使用计划安排基本合理，基本完善得4分； 材料使用计划安排较为一般得2分； 材料使用计划安排不合理不完善得1分；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质量控制措施</w:t>
            </w:r>
          </w:p>
        </w:tc>
        <w:tc>
          <w:tcPr>
            <w:tcW w:type="dxa" w:w="3115"/>
          </w:tcPr>
          <w:p>
            <w:pPr>
              <w:pStyle w:val="null5"/>
              <w:jc w:val="left"/>
            </w:pPr>
            <w:r>
              <w:rPr>
                <w:rFonts w:ascii="仿宋_GB2312" w:hAnsi="仿宋_GB2312" w:cs="仿宋_GB2312" w:eastAsia="仿宋_GB2312"/>
              </w:rPr>
              <w:t>质量控制措施完善，内容全面，且针对性强得6分； 质量控制措施基本完善，内容基本全面，针对性一般得4分； 质量控制措施基本完善，缺乏针对性得2分； 质量控制措施不完善，内容不全面得1分。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安全生产控制措施</w:t>
            </w:r>
          </w:p>
        </w:tc>
        <w:tc>
          <w:tcPr>
            <w:tcW w:type="dxa" w:w="3115"/>
          </w:tcPr>
          <w:p>
            <w:pPr>
              <w:pStyle w:val="null5"/>
              <w:jc w:val="left"/>
            </w:pPr>
            <w:r>
              <w:rPr>
                <w:rFonts w:ascii="仿宋_GB2312" w:hAnsi="仿宋_GB2312" w:cs="仿宋_GB2312" w:eastAsia="仿宋_GB2312"/>
              </w:rPr>
              <w:t>安全生产保证措施编制合理，内容全面具体，措施有力且针对性强得6分； 安全生产保证措施编制基本合理，内容基本全面，措施不明显，针对性一般得4分； 安全生产保证措施编制内容基本全面，缺乏措施及针对性得2分；安全生产保证措施编制不合理，内容不全面得1分。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保证文明施工措施</w:t>
            </w:r>
          </w:p>
        </w:tc>
        <w:tc>
          <w:tcPr>
            <w:tcW w:type="dxa" w:w="3115"/>
          </w:tcPr>
          <w:p>
            <w:pPr>
              <w:pStyle w:val="null5"/>
              <w:jc w:val="left"/>
            </w:pPr>
            <w:r>
              <w:rPr>
                <w:rFonts w:ascii="仿宋_GB2312" w:hAnsi="仿宋_GB2312" w:cs="仿宋_GB2312" w:eastAsia="仿宋_GB2312"/>
              </w:rPr>
              <w:t>防止环境污染、减少扰民、降低噪声等保证文明施工管理措施合理，内容全面具体，且针对性强得6分； 保证文明施工管理措施基本合理，内容基本全面，针对性一般得4分； 保证文明施工管理措施基本合理，缺乏针对性的，得2分； 保证文明施工管理措施不合理，内容不全面不具体得1分。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雨季施工措施</w:t>
            </w:r>
          </w:p>
        </w:tc>
        <w:tc>
          <w:tcPr>
            <w:tcW w:type="dxa" w:w="3115"/>
          </w:tcPr>
          <w:p>
            <w:pPr>
              <w:pStyle w:val="null5"/>
              <w:jc w:val="left"/>
            </w:pPr>
            <w:r>
              <w:rPr>
                <w:rFonts w:ascii="仿宋_GB2312" w:hAnsi="仿宋_GB2312" w:cs="仿宋_GB2312" w:eastAsia="仿宋_GB2312"/>
              </w:rPr>
              <w:t>雨季施工措施合理，内容全面具体，且针对性强得6分； 雨季施工措施基本合理，内容基本全面，针对性一般得4分； 雨季施工措施基本合理，缺乏针对性的，得2分； 雨季施工措施不合理，内容不全面不具体得1分。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每提供一个近三年类似项目业绩得3分，最高得12分。（近三年业绩起止计算日期为：以投标截止日期为终止日期向前推算整三年，须提供合同原件扫描件，日期以合同签订日期为准；类似项目为房屋建筑工程。）</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组织机构</w:t>
            </w:r>
          </w:p>
        </w:tc>
        <w:tc>
          <w:tcPr>
            <w:tcW w:type="dxa" w:w="3115"/>
          </w:tcPr>
          <w:p>
            <w:pPr>
              <w:pStyle w:val="null5"/>
              <w:jc w:val="left"/>
            </w:pPr>
            <w:r>
              <w:rPr>
                <w:rFonts w:ascii="仿宋_GB2312" w:hAnsi="仿宋_GB2312" w:cs="仿宋_GB2312" w:eastAsia="仿宋_GB2312"/>
              </w:rPr>
              <w:t>项目技术负责人（须具有相关专业助理工程师及以上职称）、施工员、质量员、安全员等组织机构健全，每提供一项得2分，最多得8分（以人员证书为准）；项目技术负责人、施工员、质量员、安全员不得同时在2个及以上在建项目中任职，同一在建项目不得兼任（须提供承诺书）；只提供证书不提供承诺书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