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2024年自治区畜牧业良种补贴项目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兴安盟农牧技术推广中心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内蒙古瑞盈工程项目管理有限公司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152203-瑞盈2025-GK-20250001</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内蒙古瑞盈工程项目管理有限公司</w:t>
      </w:r>
      <w:r>
        <w:rPr>
          <w:rFonts w:ascii="仿宋_GB2312" w:hAnsi="仿宋_GB2312" w:cs="仿宋_GB2312" w:eastAsia="仿宋_GB2312"/>
        </w:rPr>
        <w:t xml:space="preserve"> 受 </w:t>
      </w:r>
      <w:r>
        <w:rPr>
          <w:rFonts w:ascii="仿宋_GB2312" w:hAnsi="仿宋_GB2312" w:cs="仿宋_GB2312" w:eastAsia="仿宋_GB2312"/>
        </w:rPr>
        <w:t>兴安盟农牧技术推广中心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2024年自治区畜牧业良种补贴项目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2024年自治区畜牧业良种补贴项目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152203-瑞盈2025-GK-20250001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兴财购计划[2025]00175</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1,760,000.00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2024年自治区畜牧业良种补贴项目</w:t>
            </w:r>
          </w:p>
        </w:tc>
        <w:tc>
          <w:tcPr>
            <w:tcW w:type="dxa" w:w="831"/>
          </w:tcPr>
          <w:p>
            <w:pPr>
              <w:pStyle w:val="null5"/>
              <w:jc w:val="right"/>
            </w:pPr>
            <w:r>
              <w:rPr>
                <w:rFonts w:ascii="仿宋_GB2312" w:hAnsi="仿宋_GB2312" w:cs="仿宋_GB2312" w:eastAsia="仿宋_GB2312"/>
              </w:rPr>
              <w:t>352,000.00</w:t>
            </w:r>
          </w:p>
        </w:tc>
        <w:tc>
          <w:tcPr>
            <w:tcW w:type="dxa" w:w="831"/>
          </w:tcPr>
          <w:p>
            <w:pPr>
              <w:pStyle w:val="null5"/>
              <w:jc w:val="right"/>
            </w:pPr>
            <w:r>
              <w:rPr>
                <w:rFonts w:ascii="仿宋_GB2312" w:hAnsi="仿宋_GB2312" w:cs="仿宋_GB2312" w:eastAsia="仿宋_GB2312"/>
              </w:rPr>
              <w:t>1,760,000.00</w:t>
            </w:r>
          </w:p>
        </w:tc>
        <w:tc>
          <w:tcPr>
            <w:tcW w:type="dxa" w:w="831"/>
          </w:tcPr>
          <w:p>
            <w:pPr>
              <w:pStyle w:val="null5"/>
              <w:jc w:val="left"/>
            </w:pPr>
            <w:r>
              <w:rPr>
                <w:rFonts w:ascii="仿宋_GB2312" w:hAnsi="仿宋_GB2312" w:cs="仿宋_GB2312" w:eastAsia="仿宋_GB2312"/>
              </w:rPr>
              <w:t>支</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1、资格要求：(1)审查《种畜禽生产经营许可证》或《种畜禽经营许可证》 (2)审查地县级及以上兽医主管部门颁发的《动物防疫条件合格证》。 (3)审查所在地县级及以上动物疾病控制中心出具的最近3个月内种公牛口蹄疫免疫监测合格报告和结核、布病病原学检测阴性报告（须有竞标种公牛）。 (4)审查所在地县级及以上畜牧兽医主管部门出具的近3个月内“非疫区证明”。 (5)审查农业农村部牛冷冻精液质量监督检验测试中心出具2024年的近期牛冷冻精液检验报告（须有竞标种公牛）。</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内蒙古瑞盈工程项目管理有限公司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内蒙古自治区兴安盟乌兰浩特市</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吴女士</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0482-8805999</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兴安盟农牧技术推广中心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兴安盟农牧局6楼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贾先生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0482-8288773</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代理服务费收费标准：参照内工建协（2022）34号文件标准执行</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兴安盟农牧技术推广中心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内蒙古瑞盈工程项目管理有限公司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审查投标人提供的具有良好的商业信誉和健全的财务会计制度的相关材料或承诺。</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审查投标人提供的依法缴纳税收和社会保障资金的相关材料或承诺。</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审查投标人提供的具有履行合同所必需的设备和专业技术能力的证明材料或承诺。</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资格要求</w:t>
            </w:r>
          </w:p>
        </w:tc>
        <w:tc>
          <w:tcPr>
            <w:tcW w:type="dxa" w:w="4984"/>
          </w:tcPr>
          <w:p>
            <w:pPr>
              <w:pStyle w:val="null5"/>
              <w:jc w:val="left"/>
            </w:pPr>
            <w:r>
              <w:rPr>
                <w:rFonts w:ascii="仿宋_GB2312" w:hAnsi="仿宋_GB2312" w:cs="仿宋_GB2312" w:eastAsia="仿宋_GB2312"/>
              </w:rPr>
              <w:t>(1)审查《种畜禽生产经营许可证》或《种畜禽经营许可证》 (2)审查地县级及以上兽医主管部门颁发的《动物防疫条件合格证》。 (3)审查所在地县级及以上动物疾病控制中心出具的最近3个月内种公牛口蹄疫免疫监测合格报告和结核、布病病原学检测阴性报告（须有竞标种公牛）。 (4)审查所在地县级及以上畜牧兽医主管部门出具的近3个月内“非疫区证明”。 (5)审查农业农村部牛冷冻精液质量监督检验测试中心出具2024年的近期牛冷冻精液检验报告（须有竞标种公牛）。</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引进推广优质肉牛冻精35.2万支，改良能繁母牛17.6万头。</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合同签订后30个日历日内交货</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科右中旗、扎赉特旗、突泉县、乌兰浩特市</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1、项目验收合格并达到甲方要求后一次性支付，达到付款条件起56日，支付合同总金额的100.00%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标的名称：2024年自治区畜牧业良种补贴项目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sz w:val="24"/>
              </w:rPr>
              <w:t>供应商提供的种公牛应为农业农村部（全国畜牧总站）《</w:t>
            </w:r>
            <w:r>
              <w:rPr>
                <w:rFonts w:ascii="仿宋_GB2312" w:hAnsi="仿宋_GB2312" w:cs="仿宋_GB2312" w:eastAsia="仿宋_GB2312"/>
                <w:sz w:val="24"/>
              </w:rPr>
              <w:t>2024</w:t>
            </w:r>
            <w:r>
              <w:rPr>
                <w:rFonts w:ascii="仿宋_GB2312" w:hAnsi="仿宋_GB2312" w:cs="仿宋_GB2312" w:eastAsia="仿宋_GB2312"/>
                <w:sz w:val="24"/>
              </w:rPr>
              <w:t>年中国肉用及乳肉兼用种公牛遗传评估概要》收录的</w:t>
            </w:r>
            <w:r>
              <w:rPr>
                <w:rFonts w:ascii="仿宋_GB2312" w:hAnsi="仿宋_GB2312" w:cs="仿宋_GB2312" w:eastAsia="仿宋_GB2312"/>
                <w:sz w:val="24"/>
              </w:rPr>
              <w:t>肉用</w:t>
            </w:r>
            <w:r>
              <w:rPr>
                <w:rFonts w:ascii="仿宋_GB2312" w:hAnsi="仿宋_GB2312" w:cs="仿宋_GB2312" w:eastAsia="仿宋_GB2312"/>
                <w:sz w:val="24"/>
              </w:rPr>
              <w:t>西门塔尔种公牛。</w:t>
            </w:r>
            <w:r>
              <w:rPr>
                <w:rFonts w:ascii="仿宋_GB2312" w:hAnsi="仿宋_GB2312" w:cs="仿宋_GB2312" w:eastAsia="仿宋_GB2312"/>
                <w:sz w:val="24"/>
              </w:rPr>
              <w:t>(</w:t>
            </w:r>
            <w:r>
              <w:rPr>
                <w:rFonts w:ascii="仿宋_GB2312" w:hAnsi="仿宋_GB2312" w:cs="仿宋_GB2312" w:eastAsia="仿宋_GB2312"/>
                <w:sz w:val="24"/>
              </w:rPr>
              <w:t>投标文件中须提供上述概要，并明确标明入选种公牛的的编号和生产性能及所在页码</w:t>
            </w:r>
            <w:r>
              <w:rPr>
                <w:rFonts w:ascii="仿宋_GB2312" w:hAnsi="仿宋_GB2312" w:cs="仿宋_GB2312" w:eastAsia="仿宋_GB2312"/>
                <w:sz w:val="24"/>
              </w:rPr>
              <w:t>)</w:t>
            </w:r>
          </w:p>
        </w:tc>
      </w:tr>
      <w:tr>
        <w:tc>
          <w:tcPr>
            <w:tcW w:type="dxa" w:w="2769"/>
          </w:tcPr>
          <w:p>
            <w:pPr>
              <w:pStyle w:val="null5"/>
              <w:jc w:val="left"/>
            </w:pPr>
            <w:r>
              <w:rPr>
                <w:rFonts w:ascii="仿宋_GB2312" w:hAnsi="仿宋_GB2312" w:cs="仿宋_GB2312" w:eastAsia="仿宋_GB2312"/>
              </w:rPr>
              <w:t>2</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sz w:val="24"/>
              </w:rPr>
              <w:t>供应商提供的冻精应符合国家标准（</w:t>
            </w:r>
            <w:r>
              <w:rPr>
                <w:rFonts w:ascii="仿宋_GB2312" w:hAnsi="仿宋_GB2312" w:cs="仿宋_GB2312" w:eastAsia="仿宋_GB2312"/>
                <w:sz w:val="24"/>
              </w:rPr>
              <w:t>GB4143-2022）,需出具国家权威认证部门提供的产品质量检测报告。外包装完整符合销售要求</w:t>
            </w:r>
            <w:r>
              <w:rPr>
                <w:rFonts w:ascii="仿宋_GB2312" w:hAnsi="仿宋_GB2312" w:cs="仿宋_GB2312" w:eastAsia="仿宋_GB2312"/>
                <w:sz w:val="24"/>
              </w:rPr>
              <w:t>：</w:t>
            </w:r>
          </w:p>
          <w:p>
            <w:pPr>
              <w:pStyle w:val="null5"/>
              <w:ind w:firstLine="480"/>
              <w:jc w:val="left"/>
            </w:pPr>
            <w:r>
              <w:rPr>
                <w:rFonts w:ascii="仿宋_GB2312" w:hAnsi="仿宋_GB2312" w:cs="仿宋_GB2312" w:eastAsia="仿宋_GB2312"/>
                <w:sz w:val="24"/>
              </w:rPr>
              <w:t>1）</w:t>
            </w:r>
            <w:r>
              <w:rPr>
                <w:rFonts w:ascii="仿宋_GB2312" w:hAnsi="仿宋_GB2312" w:cs="仿宋_GB2312" w:eastAsia="仿宋_GB2312"/>
                <w:sz w:val="24"/>
              </w:rPr>
              <w:t>剂型剂量：细管装，剂量</w:t>
            </w:r>
            <w:r>
              <w:rPr>
                <w:rFonts w:ascii="仿宋_GB2312" w:hAnsi="仿宋_GB2312" w:cs="仿宋_GB2312" w:eastAsia="仿宋_GB2312"/>
                <w:sz w:val="24"/>
              </w:rPr>
              <w:t>≥0.19毫升；</w:t>
            </w:r>
          </w:p>
          <w:p>
            <w:pPr>
              <w:pStyle w:val="null5"/>
              <w:ind w:firstLine="480"/>
              <w:jc w:val="left"/>
            </w:pPr>
            <w:r>
              <w:rPr>
                <w:rFonts w:ascii="仿宋_GB2312" w:hAnsi="仿宋_GB2312" w:cs="仿宋_GB2312" w:eastAsia="仿宋_GB2312"/>
                <w:sz w:val="24"/>
              </w:rPr>
              <w:t>2）</w:t>
            </w:r>
            <w:r>
              <w:rPr>
                <w:rFonts w:ascii="仿宋_GB2312" w:hAnsi="仿宋_GB2312" w:cs="仿宋_GB2312" w:eastAsia="仿宋_GB2312"/>
                <w:sz w:val="24"/>
              </w:rPr>
              <w:t>精液标识清楚：生产日期、牛号</w:t>
            </w:r>
          </w:p>
          <w:p>
            <w:pPr>
              <w:pStyle w:val="null5"/>
              <w:ind w:firstLine="480"/>
              <w:jc w:val="left"/>
            </w:pPr>
            <w:r>
              <w:rPr>
                <w:rFonts w:ascii="仿宋_GB2312" w:hAnsi="仿宋_GB2312" w:cs="仿宋_GB2312" w:eastAsia="仿宋_GB2312"/>
                <w:sz w:val="24"/>
              </w:rPr>
              <w:t>3）</w:t>
            </w:r>
            <w:r>
              <w:rPr>
                <w:rFonts w:ascii="仿宋_GB2312" w:hAnsi="仿宋_GB2312" w:cs="仿宋_GB2312" w:eastAsia="仿宋_GB2312"/>
                <w:sz w:val="24"/>
              </w:rPr>
              <w:t>每剂（支）精液解冻后：精子活力</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t>
            </w:r>
          </w:p>
          <w:p>
            <w:pPr>
              <w:pStyle w:val="null5"/>
              <w:ind w:firstLine="480"/>
              <w:jc w:val="left"/>
            </w:pPr>
            <w:r>
              <w:rPr>
                <w:rFonts w:ascii="仿宋_GB2312" w:hAnsi="仿宋_GB2312" w:cs="仿宋_GB2312" w:eastAsia="仿宋_GB2312"/>
                <w:sz w:val="24"/>
              </w:rPr>
              <w:t>4）</w:t>
            </w:r>
            <w:r>
              <w:rPr>
                <w:rFonts w:ascii="仿宋_GB2312" w:hAnsi="仿宋_GB2312" w:cs="仿宋_GB2312" w:eastAsia="仿宋_GB2312"/>
                <w:sz w:val="24"/>
              </w:rPr>
              <w:t>每剂（支）精液解冻后：前进运动精子数</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00万个；</w:t>
            </w:r>
          </w:p>
          <w:p>
            <w:pPr>
              <w:pStyle w:val="null5"/>
              <w:ind w:firstLine="480"/>
              <w:jc w:val="left"/>
            </w:pPr>
            <w:r>
              <w:rPr>
                <w:rFonts w:ascii="仿宋_GB2312" w:hAnsi="仿宋_GB2312" w:cs="仿宋_GB2312" w:eastAsia="仿宋_GB2312"/>
                <w:sz w:val="24"/>
              </w:rPr>
              <w:t>5）</w:t>
            </w:r>
            <w:r>
              <w:rPr>
                <w:rFonts w:ascii="仿宋_GB2312" w:hAnsi="仿宋_GB2312" w:cs="仿宋_GB2312" w:eastAsia="仿宋_GB2312"/>
                <w:sz w:val="24"/>
              </w:rPr>
              <w:t>每剂（支）精液解冻后：精子畸形率</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w:t>
            </w:r>
          </w:p>
          <w:p>
            <w:pPr>
              <w:pStyle w:val="null5"/>
              <w:ind w:firstLine="480"/>
              <w:jc w:val="left"/>
            </w:pPr>
            <w:r>
              <w:rPr>
                <w:rFonts w:ascii="仿宋_GB2312" w:hAnsi="仿宋_GB2312" w:cs="仿宋_GB2312" w:eastAsia="仿宋_GB2312"/>
                <w:sz w:val="24"/>
              </w:rPr>
              <w:t>6）</w:t>
            </w:r>
            <w:r>
              <w:rPr>
                <w:rFonts w:ascii="仿宋_GB2312" w:hAnsi="仿宋_GB2312" w:cs="仿宋_GB2312" w:eastAsia="仿宋_GB2312"/>
                <w:sz w:val="24"/>
              </w:rPr>
              <w:t>解冻后的精液无病原性微生物，每剂（支）细菌菌落数</w:t>
            </w:r>
            <w:r>
              <w:rPr>
                <w:rFonts w:ascii="仿宋_GB2312" w:hAnsi="仿宋_GB2312" w:cs="仿宋_GB2312" w:eastAsia="仿宋_GB2312"/>
                <w:sz w:val="24"/>
              </w:rPr>
              <w:t>≤</w:t>
            </w:r>
            <w:r>
              <w:rPr>
                <w:rFonts w:ascii="仿宋_GB2312" w:hAnsi="仿宋_GB2312" w:cs="仿宋_GB2312" w:eastAsia="仿宋_GB2312"/>
                <w:sz w:val="24"/>
              </w:rPr>
              <w:t>500CFU/剂</w:t>
            </w:r>
            <w:r>
              <w:rPr>
                <w:rFonts w:ascii="仿宋_GB2312" w:hAnsi="仿宋_GB2312" w:cs="仿宋_GB2312" w:eastAsia="仿宋_GB2312"/>
                <w:sz w:val="24"/>
              </w:rPr>
              <w:t>；</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24"/>
              </w:rPr>
              <w:t>解冻后精子存活时间在</w:t>
            </w:r>
            <w:r>
              <w:rPr>
                <w:rFonts w:ascii="仿宋_GB2312" w:hAnsi="仿宋_GB2312" w:cs="仿宋_GB2312" w:eastAsia="仿宋_GB2312"/>
                <w:sz w:val="24"/>
              </w:rPr>
              <w:t>5-8℃贮存时不低于12小时，在37℃贮存时不低于4小时；</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24"/>
              </w:rPr>
              <w:t>肉用西门塔尔牛冻精：所投西门塔尔种公牛</w:t>
            </w:r>
            <w:r>
              <w:rPr>
                <w:rFonts w:ascii="仿宋_GB2312" w:hAnsi="仿宋_GB2312" w:cs="仿宋_GB2312" w:eastAsia="仿宋_GB2312"/>
                <w:sz w:val="24"/>
              </w:rPr>
              <w:t>CBI值（中国肉牛选择指标）≥150；</w:t>
            </w:r>
          </w:p>
        </w:tc>
      </w:tr>
      <w:tr>
        <w:tc>
          <w:tcPr>
            <w:tcW w:type="dxa" w:w="2769"/>
          </w:tcPr>
          <w:p>
            <w:pPr>
              <w:pStyle w:val="null5"/>
              <w:jc w:val="left"/>
            </w:pPr>
            <w:r>
              <w:rPr>
                <w:rFonts w:ascii="仿宋_GB2312" w:hAnsi="仿宋_GB2312" w:cs="仿宋_GB2312" w:eastAsia="仿宋_GB2312"/>
              </w:rPr>
              <w:t>5</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24"/>
              </w:rPr>
              <w:t>在正确储存条件下，一年内质量达到国家良种公牛冻精标准，在此期间发现质量问题，无偿负责更换，并承担由此产生的一切费用；</w:t>
            </w:r>
          </w:p>
        </w:tc>
      </w:tr>
      <w:tr>
        <w:tc>
          <w:tcPr>
            <w:tcW w:type="dxa" w:w="2769"/>
          </w:tcPr>
          <w:p>
            <w:pPr>
              <w:pStyle w:val="null5"/>
              <w:jc w:val="left"/>
            </w:pPr>
            <w:r>
              <w:rPr>
                <w:rFonts w:ascii="仿宋_GB2312" w:hAnsi="仿宋_GB2312" w:cs="仿宋_GB2312" w:eastAsia="仿宋_GB2312"/>
              </w:rPr>
              <w:t>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24"/>
              </w:rPr>
              <w:t>投标人所投冷冻精液必须是入选全国畜牧总站《</w:t>
            </w:r>
            <w:r>
              <w:rPr>
                <w:rFonts w:ascii="仿宋_GB2312" w:hAnsi="仿宋_GB2312" w:cs="仿宋_GB2312" w:eastAsia="仿宋_GB2312"/>
                <w:sz w:val="24"/>
              </w:rPr>
              <w:t>202</w:t>
            </w:r>
            <w:r>
              <w:rPr>
                <w:rFonts w:ascii="仿宋_GB2312" w:hAnsi="仿宋_GB2312" w:cs="仿宋_GB2312" w:eastAsia="仿宋_GB2312"/>
                <w:sz w:val="24"/>
              </w:rPr>
              <w:t>4</w:t>
            </w:r>
            <w:r>
              <w:rPr>
                <w:rFonts w:ascii="仿宋_GB2312" w:hAnsi="仿宋_GB2312" w:cs="仿宋_GB2312" w:eastAsia="仿宋_GB2312"/>
                <w:sz w:val="24"/>
              </w:rPr>
              <w:t>年中国肉用及乳肉兼用种公牛遗传评估概要》中公布的种公牛所生产的优质产品（需附名单，并明确标明入选种公牛的编号和生产性能以及所在页码）；</w:t>
            </w:r>
          </w:p>
        </w:tc>
      </w:tr>
      <w:tr>
        <w:tc>
          <w:tcPr>
            <w:tcW w:type="dxa" w:w="2769"/>
          </w:tcPr>
          <w:p>
            <w:pPr>
              <w:pStyle w:val="null5"/>
              <w:jc w:val="left"/>
            </w:pPr>
            <w:r>
              <w:rPr>
                <w:rFonts w:ascii="仿宋_GB2312" w:hAnsi="仿宋_GB2312" w:cs="仿宋_GB2312" w:eastAsia="仿宋_GB2312"/>
              </w:rPr>
              <w:t>7</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24"/>
              </w:rPr>
              <w:t>供应商提供的供精种公牛无传染性疾病，无隐性遗传疾病或缺陷。提供所在地县级以上畜牧兽医主管部门出具的最近三个月</w:t>
            </w:r>
            <w:r>
              <w:rPr>
                <w:rFonts w:ascii="仿宋_GB2312" w:hAnsi="仿宋_GB2312" w:cs="仿宋_GB2312" w:eastAsia="仿宋_GB2312"/>
                <w:sz w:val="24"/>
              </w:rPr>
              <w:t>“非疫区证明”，所在地县级及以上动物疫病预防控制中心（或具备检测资质的第三方）出具的最近三个月种公牛口蹄疫免疫抗体检测报告及结核、布病病原学检测阴性报告（须有竞标种公牛）。</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技术部分31.00分</w:t>
            </w:r>
          </w:p>
          <w:p>
            <w:pPr>
              <w:pStyle w:val="null5"/>
              <w:jc w:val="left"/>
            </w:pPr>
            <w:r>
              <w:rPr>
                <w:rFonts w:ascii="仿宋_GB2312" w:hAnsi="仿宋_GB2312" w:cs="仿宋_GB2312" w:eastAsia="仿宋_GB2312"/>
              </w:rPr>
              <w:t>商务部分39.00分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质量管理规范及技术服务队伍</w:t>
            </w:r>
          </w:p>
        </w:tc>
        <w:tc>
          <w:tcPr>
            <w:tcW w:type="dxa" w:w="3115"/>
          </w:tcPr>
          <w:p>
            <w:pPr>
              <w:pStyle w:val="null5"/>
              <w:jc w:val="left"/>
            </w:pPr>
            <w:r>
              <w:rPr>
                <w:rFonts w:ascii="仿宋_GB2312" w:hAnsi="仿宋_GB2312" w:cs="仿宋_GB2312" w:eastAsia="仿宋_GB2312"/>
              </w:rPr>
              <w:t>1.具有完善的质量管理规范，较强的技术服务队伍，有完善的技术服务团队和体系（包含不限于人工授精服务、饲养管理、兽医服务等）得7分； 2.质量管理规范一般，相应的技术服务队伍人员配置一般得4分；3.质量管理规范较差，相应的技术服务队伍人员 不完善得1分； 文件中未体现该部分内容得0分。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技术力量评价</w:t>
            </w:r>
          </w:p>
        </w:tc>
        <w:tc>
          <w:tcPr>
            <w:tcW w:type="dxa" w:w="3115"/>
          </w:tcPr>
          <w:p>
            <w:pPr>
              <w:pStyle w:val="null5"/>
              <w:jc w:val="left"/>
            </w:pPr>
            <w:r>
              <w:rPr>
                <w:rFonts w:ascii="仿宋_GB2312" w:hAnsi="仿宋_GB2312" w:cs="仿宋_GB2312" w:eastAsia="仿宋_GB2312"/>
              </w:rPr>
              <w:t>根据供应商提供的自主育种体系方案、选种选配方案、冻精生产设备和环境等进行综合评分：方案完善详细、科学合理、先进的得6分；方案比较完善、科学合理、先进的得3分；方案基本完善、科学合理的得1分；文件中未体现该部分内容得0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种牛养殖管理技术方案</w:t>
            </w:r>
          </w:p>
        </w:tc>
        <w:tc>
          <w:tcPr>
            <w:tcW w:type="dxa" w:w="3115"/>
          </w:tcPr>
          <w:p>
            <w:pPr>
              <w:pStyle w:val="null5"/>
              <w:jc w:val="left"/>
            </w:pPr>
            <w:r>
              <w:rPr>
                <w:rFonts w:ascii="仿宋_GB2312" w:hAnsi="仿宋_GB2312" w:cs="仿宋_GB2312" w:eastAsia="仿宋_GB2312"/>
              </w:rPr>
              <w:t>根据供应商提供的种牛养殖管理技术方案进行综合评分：方案科学合理、先进的得6分；方案比较科学合理、先进的得3分；方案科学、基本满足采购需求的得1分； 文件中未体现该部分内容得0分。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提高培育率措施</w:t>
            </w:r>
          </w:p>
        </w:tc>
        <w:tc>
          <w:tcPr>
            <w:tcW w:type="dxa" w:w="3115"/>
          </w:tcPr>
          <w:p>
            <w:pPr>
              <w:pStyle w:val="null5"/>
              <w:jc w:val="left"/>
            </w:pPr>
            <w:r>
              <w:rPr>
                <w:rFonts w:ascii="仿宋_GB2312" w:hAnsi="仿宋_GB2312" w:cs="仿宋_GB2312" w:eastAsia="仿宋_GB2312"/>
              </w:rPr>
              <w:t>根据供应商提供的提高培育率措施进行综合评价：措施科学合理、先进的得6分；措施比较科学合理、先进的得3分；措施科学、基本满足采购需求的得1分；文件中未体现该部分内容得0分。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w:t>
            </w:r>
          </w:p>
        </w:tc>
        <w:tc>
          <w:tcPr>
            <w:tcW w:type="dxa" w:w="3115"/>
          </w:tcPr>
          <w:p>
            <w:pPr>
              <w:pStyle w:val="null5"/>
              <w:jc w:val="left"/>
            </w:pPr>
            <w:r>
              <w:rPr>
                <w:rFonts w:ascii="仿宋_GB2312" w:hAnsi="仿宋_GB2312" w:cs="仿宋_GB2312" w:eastAsia="仿宋_GB2312"/>
              </w:rPr>
              <w:t>根据供应商提供售后服务方案，方案包括但不限于：1）配送方案；2）货源组织情况；3）育种员培训；4）人员配置；5）包装分类；6）物流运输措施等进行综合评分：方案完整详细、切实可行、针对性强的得6分；方案完整、切实可行、有针对性的得3分；方案完整、切实可行、满足需求的得1分；文件中未体现该部分内容得0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同类业绩</w:t>
            </w:r>
          </w:p>
        </w:tc>
        <w:tc>
          <w:tcPr>
            <w:tcW w:type="dxa" w:w="3115"/>
          </w:tcPr>
          <w:p>
            <w:pPr>
              <w:pStyle w:val="null5"/>
              <w:jc w:val="left"/>
            </w:pPr>
            <w:r>
              <w:rPr>
                <w:rFonts w:ascii="仿宋_GB2312" w:hAnsi="仿宋_GB2312" w:cs="仿宋_GB2312" w:eastAsia="仿宋_GB2312"/>
              </w:rPr>
              <w:t>供应商每提供一项2022年1月1日至今同类项目业绩得3分，最多得9分；提供中标通知书或合同佐证，没有提供或提供不真实的得0分。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种公牛CBI</w:t>
            </w:r>
          </w:p>
        </w:tc>
        <w:tc>
          <w:tcPr>
            <w:tcW w:type="dxa" w:w="3115"/>
          </w:tcPr>
          <w:p>
            <w:pPr>
              <w:pStyle w:val="null5"/>
              <w:jc w:val="left"/>
            </w:pPr>
            <w:r>
              <w:rPr>
                <w:rFonts w:ascii="仿宋_GB2312" w:hAnsi="仿宋_GB2312" w:cs="仿宋_GB2312" w:eastAsia="仿宋_GB2312"/>
              </w:rPr>
              <w:t>供应商所投西门塔尔种公牛(2024)CBI值（中国肉牛选择指标）≥150，每投标1头得1.5分，最高得分30分(提供证明材料 ）</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