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兴安盟科尔沁右翼前旗园林定级与园林草基准地价评估项目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科尔沁右翼前旗自然资源局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内蒙古铭图项目管理有限公司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152221-XAMMT-CS-20250001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内蒙古铭图项目管理有限公司</w:t>
      </w:r>
      <w:r>
        <w:rPr>
          <w:rFonts w:ascii="仿宋_GB2312" w:hAnsi="仿宋_GB2312" w:cs="仿宋_GB2312" w:eastAsia="仿宋_GB2312"/>
        </w:rPr>
        <w:t xml:space="preserve"> 受 </w:t>
      </w:r>
      <w:r>
        <w:rPr>
          <w:rFonts w:ascii="仿宋_GB2312" w:hAnsi="仿宋_GB2312" w:cs="仿宋_GB2312" w:eastAsia="仿宋_GB2312"/>
        </w:rPr>
        <w:t>科尔沁右翼前旗自然资源局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兴安盟科尔沁右翼前旗园林定级与园林草基准地价评估项目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兴安盟科尔沁右翼前旗园林定级与园林草基准地价评估项目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152221-XAMMT-CS-20250001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科右前旗财购计划[2025]00007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兴安盟科尔沁右翼前旗园林定级与园林草基准地价评估项目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860,000.00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1、特定资格：供应商需同时具有省级（自治区）自然资源主管部门进行土地估价机构备案（以备案函为准）和乙级测绘及以上资质;</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内蒙古铭图项目管理有限公司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内蒙古自治区兴安盟科尔沁右翼前旗府东花园北区4-商业- 18</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137700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于洋</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15624886919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科尔沁右翼前旗自然资源局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科尔沁右翼前旗新址</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137700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杨柳</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18704849000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代理服务费收费标准：参照内工建协[2022]34号文件执行，双方协商收取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科尔沁右翼前旗自然资源局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内蒙古铭图项目管理有限公司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兴安盟科尔沁右翼前旗园林定级与园林草基准地价评估项目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交货时间：签订合同后90日内提交成果。</w:t>
            </w:r>
          </w:p>
        </w:tc>
      </w:tr>
      <w:tr>
        <w:tc>
          <w:tcPr>
            <w:tcW w:type="dxa" w:w="2769"/>
          </w:tcPr>
          <w:p/>
        </w:tc>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交货地点：科尔沁右翼前旗。</w:t>
            </w:r>
          </w:p>
        </w:tc>
      </w:tr>
      <w:tr>
        <w:tc>
          <w:tcPr>
            <w:tcW w:type="dxa" w:w="2769"/>
          </w:tcPr>
          <w:p/>
        </w:tc>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合同支付方式：1、完成初步成果，达到付款条件起10日，支付合同总金额的30.00%</w:t>
            </w:r>
            <w:r>
              <w:br/>
            </w:r>
            <w:r>
              <w:rPr>
                <w:rFonts w:ascii="仿宋_GB2312" w:hAnsi="仿宋_GB2312" w:cs="仿宋_GB2312" w:eastAsia="仿宋_GB2312"/>
              </w:rPr>
              <w:t xml:space="preserve"> 2、完成最终成果，达到付款条件起10日，支付合同总金额的40.00%</w:t>
            </w:r>
            <w:r>
              <w:br/>
            </w:r>
            <w:r>
              <w:rPr>
                <w:rFonts w:ascii="仿宋_GB2312" w:hAnsi="仿宋_GB2312" w:cs="仿宋_GB2312" w:eastAsia="仿宋_GB2312"/>
              </w:rPr>
              <w:t xml:space="preserve"> 3、通过验收，达到付款条件起10日，支付合同总金额的30.00%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标的名称：兴安盟科尔沁右翼前旗园林定级与园林草基准地价评估项目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after="120"/>
              <w:ind w:right="120" w:firstLine="480"/>
              <w:jc w:val="both"/>
            </w:pPr>
            <w:r>
              <w:rPr>
                <w:rFonts w:ascii="仿宋_GB2312" w:hAnsi="仿宋_GB2312" w:cs="仿宋_GB2312" w:eastAsia="仿宋_GB2312"/>
                <w:sz w:val="24"/>
              </w:rPr>
              <w:t>（1）科尔沁右翼前旗草地基准地价成果。针对草地不同级别或不同均质地域，在公开市场水平及平均基础设施等条件下，按照不同草地类型，评估测算于某一期日一定权利下的平均价格。</w:t>
            </w:r>
          </w:p>
          <w:p>
            <w:pPr>
              <w:pStyle w:val="null5"/>
              <w:spacing w:after="120"/>
              <w:ind w:right="120" w:firstLine="480"/>
              <w:jc w:val="both"/>
            </w:pPr>
            <w:r>
              <w:rPr>
                <w:rFonts w:ascii="仿宋_GB2312" w:hAnsi="仿宋_GB2312" w:cs="仿宋_GB2312" w:eastAsia="仿宋_GB2312"/>
                <w:sz w:val="24"/>
              </w:rPr>
              <w:t>（2）科尔沁右翼前旗园地定级和基准地价成果。园地定级是指在县域内，根据园地的自然和经济因素，对园地质量进行综合分析，揭示其县域内部的差异，评定园地质量级别的活动。针对园地不同级别或均质地域，在公开市场水平及平均基础设施条件下，按照不同园地利用类型，评估测算于某一期日一定权利下的平均价格。</w:t>
            </w:r>
          </w:p>
          <w:p>
            <w:pPr>
              <w:pStyle w:val="null5"/>
              <w:spacing w:after="120"/>
              <w:ind w:right="120" w:firstLine="480"/>
              <w:jc w:val="both"/>
            </w:pPr>
            <w:r>
              <w:rPr>
                <w:rFonts w:ascii="仿宋_GB2312" w:hAnsi="仿宋_GB2312" w:cs="仿宋_GB2312" w:eastAsia="仿宋_GB2312"/>
                <w:sz w:val="24"/>
              </w:rPr>
              <w:t>（3）科尔沁右翼前旗林地定级和基准地价成果。林地定级是指在区域内，依据构成林地质量的自然因素和社会经济因素，根据地方林地管理和实际需要，按照规定的方法和程序进行林地质量综合评定，揭示区域内部林地利用差异和地域差异，评定林地质量级别的活动。针对林地不同级别或不同均质地域，在正常市场水平（平均利用水平和生产力水平）及平均基础设施条件下，按照不同林地类型，分别评估确定的某一基准日规定年期的平均价格。</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w:t>
            </w:r>
          </w:p>
        </w:tc>
        <w:tc>
          <w:tcPr>
            <w:tcW w:type="dxa" w:w="4984"/>
          </w:tcPr>
          <w:p>
            <w:pPr>
              <w:pStyle w:val="null5"/>
              <w:jc w:val="left"/>
            </w:pPr>
            <w:r>
              <w:rPr>
                <w:rFonts w:ascii="仿宋_GB2312" w:hAnsi="仿宋_GB2312" w:cs="仿宋_GB2312" w:eastAsia="仿宋_GB2312"/>
              </w:rPr>
              <w:t>供应商需同时具有省级（自治区）自然资源主管部门进行土地估价机构备案（以备案函为准）和乙级测绘及以上资质;</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工作组织、进度计划安排方案</w:t>
            </w:r>
          </w:p>
        </w:tc>
        <w:tc>
          <w:tcPr>
            <w:tcW w:type="dxa" w:w="3115"/>
          </w:tcPr>
          <w:p>
            <w:pPr>
              <w:pStyle w:val="null5"/>
              <w:jc w:val="left"/>
            </w:pPr>
            <w:r>
              <w:rPr>
                <w:rFonts w:ascii="仿宋_GB2312" w:hAnsi="仿宋_GB2312" w:cs="仿宋_GB2312" w:eastAsia="仿宋_GB2312"/>
              </w:rPr>
              <w:t>根据供应商提供的工作组织、进度计划安排方案进行评审： 1、方案内容 全面完善，思路清晰，研究方向科学，工作组织及进度计划安排合理，可 行性高，得15分； 2、方案内容较完善，保障措施较科学，工作组织及进 度计划安排较合理，可行性较高，得10分； 3、方案内容基本完善，无缺项 漏项，工作组织及进度计划安排基本合理，可行性一般，得5分； 4、方案 内容不够完善，存在缺漏，进度计划安排不够合理，可行性差，得1分。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项目服务流程</w:t>
            </w:r>
          </w:p>
        </w:tc>
        <w:tc>
          <w:tcPr>
            <w:tcW w:type="dxa" w:w="3115"/>
          </w:tcPr>
          <w:p>
            <w:pPr>
              <w:pStyle w:val="null5"/>
              <w:jc w:val="left"/>
            </w:pPr>
            <w:r>
              <w:rPr>
                <w:rFonts w:ascii="仿宋_GB2312" w:hAnsi="仿宋_GB2312" w:cs="仿宋_GB2312" w:eastAsia="仿宋_GB2312"/>
              </w:rPr>
              <w:t>根据供应商提供的项目服务流程进行综合评审： 1、项目服务流程内容详 细完善，编制科学合理，可行性高，得15分； 2、项目服务流程内容较完 善，编制较合理，可行性较高。得10分； 3、项目服务流程内容基本完善， 可行性一般。得5分； 4、项目服务流程内容不够完善，可行性差。得1分 。</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沟通管理与保障措施</w:t>
            </w:r>
          </w:p>
        </w:tc>
        <w:tc>
          <w:tcPr>
            <w:tcW w:type="dxa" w:w="3115"/>
          </w:tcPr>
          <w:p>
            <w:pPr>
              <w:pStyle w:val="null5"/>
              <w:jc w:val="left"/>
            </w:pPr>
            <w:r>
              <w:rPr>
                <w:rFonts w:ascii="仿宋_GB2312" w:hAnsi="仿宋_GB2312" w:cs="仿宋_GB2312" w:eastAsia="仿宋_GB2312"/>
              </w:rPr>
              <w:t>针对本项目提供的沟通管理与保障措施进行评审： 1、提供的管理方法科 学合理，保障措施完善可行性强的得8分； 2、提供的管理方法较合理，保 障措施较完善可行性较强的得5分； 3、提供的管理方法基本合理，保障措 施基本完善可行性一般的得3分； 4、提供的管理方法不够合理，保障措施 不够完善可行性差的得1分。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重难点及应对措施方案</w:t>
            </w:r>
          </w:p>
        </w:tc>
        <w:tc>
          <w:tcPr>
            <w:tcW w:type="dxa" w:w="3115"/>
          </w:tcPr>
          <w:p>
            <w:pPr>
              <w:pStyle w:val="null5"/>
              <w:jc w:val="left"/>
            </w:pPr>
            <w:r>
              <w:rPr>
                <w:rFonts w:ascii="仿宋_GB2312" w:hAnsi="仿宋_GB2312" w:cs="仿宋_GB2312" w:eastAsia="仿宋_GB2312"/>
              </w:rPr>
              <w:t>根据供应商提供对本项目的实施过程中的重难点及应对措施方案进行综合 评审： 1、方案详细完善，内容科学合理，条理清晰，可操性强，得8分； 2、方案较完善，内容较合理，可操性较强，得5分； 3、方案基本完善， 内容基本合理，可行性一般，得3分； 4、方案不够完善，内容存在缺漏， 可行性差，得1分。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根据供应商提供的质量保证措施进行综合评审：包括但不限于：质量管理 组织机构、质量保证措施、质量管理关键点分析及应对、能够体现过程控 制和成果控制两个层次且保障过程各环节及最终成果满足项目要求等内容 进行评审： 1、提供的质量保证措施全面具体、内容详细、阐述清晰合理 、切实可行的得6分； 2、提供的质量保证措施内容基本详细，阐述基本合 理，基本可行，得3分； 3、提供的质量保证措施内容不够具体或存在少量 缺漏、可行性差得1分。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数据库成果</w:t>
            </w:r>
          </w:p>
        </w:tc>
        <w:tc>
          <w:tcPr>
            <w:tcW w:type="dxa" w:w="3115"/>
          </w:tcPr>
          <w:p>
            <w:pPr>
              <w:pStyle w:val="null5"/>
              <w:jc w:val="left"/>
            </w:pPr>
            <w:r>
              <w:rPr>
                <w:rFonts w:ascii="仿宋_GB2312" w:hAnsi="仿宋_GB2312" w:cs="仿宋_GB2312" w:eastAsia="仿宋_GB2312"/>
              </w:rPr>
              <w:t>根据供应商提供的数据库成果进行综合评审： 1、方案列出的数据库成果 、文字报告成果、图件成果、表格成果、基础资料汇编等内容全面完善， 切实可行，完全符合项目要求，得6分； 2、方案列出的数据库成果、文字 报告成果、图件成果、表格成果、基础资料汇编等内容基本完善，基本符 合项目要求，得3分； 3、方案列出的数据库成果、基础资料汇编等内容不 够完善、表述不够清晰，得1分。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保密保证措施</w:t>
            </w:r>
          </w:p>
        </w:tc>
        <w:tc>
          <w:tcPr>
            <w:tcW w:type="dxa" w:w="3115"/>
          </w:tcPr>
          <w:p>
            <w:pPr>
              <w:pStyle w:val="null5"/>
              <w:jc w:val="left"/>
            </w:pPr>
            <w:r>
              <w:rPr>
                <w:rFonts w:ascii="仿宋_GB2312" w:hAnsi="仿宋_GB2312" w:cs="仿宋_GB2312" w:eastAsia="仿宋_GB2312"/>
              </w:rPr>
              <w:t>根据供应商提供的保密保证措施进行综合评审： 为确保项目不发生遗失、 泄密，供应商应采取有效措施，制定保密方案，包括保证项目保密的安全 机构、方法、措施等。 1、方案编制全面完善、科学合理、针对性强、可 行性高，得6分； 2、方案编制基本完善，内容基本合理，可行性一般，得 3分； 3、方案编制不够全面，内容存在缺漏，可行性差，得1分。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根据供应商提供的售后服务方案进行综合评审： 1、售后服务方案详细完 善，在有效期内跟进服务以及服务承诺可行，服务承诺落实的保障措施优 越，能够快速响应售后服务，得6分； 2、售后服务方案基本完善，在有效 期内跟进服务以及服务承诺基本可行，服务承诺落实的保障措施一般，得 3分； 3、售后服务方案不够完善，在有效期内跟进服务以及服务承诺有欠 缺，售后服务响应缓慢，得1分。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项目业绩</w:t>
            </w:r>
          </w:p>
        </w:tc>
        <w:tc>
          <w:tcPr>
            <w:tcW w:type="dxa" w:w="3115"/>
          </w:tcPr>
          <w:p>
            <w:pPr>
              <w:pStyle w:val="null5"/>
              <w:jc w:val="left"/>
            </w:pPr>
            <w:r>
              <w:rPr>
                <w:rFonts w:ascii="仿宋_GB2312" w:hAnsi="仿宋_GB2312" w:cs="仿宋_GB2312" w:eastAsia="仿宋_GB2312"/>
              </w:rPr>
              <w:t>供应商提供自2022年1月至今类似项目业绩，每提供一个得2.5分，最 高得10分，不提供不得分，业绩时间以中标通知书或合同签订时间为准。 注：投标文件中须提供中标通知书或合同扫描件并加盖单位公章。</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项目团队负责人</w:t>
            </w:r>
          </w:p>
        </w:tc>
        <w:tc>
          <w:tcPr>
            <w:tcW w:type="dxa" w:w="3115"/>
          </w:tcPr>
          <w:p>
            <w:pPr>
              <w:pStyle w:val="null5"/>
              <w:jc w:val="left"/>
            </w:pPr>
            <w:r>
              <w:rPr>
                <w:rFonts w:ascii="仿宋_GB2312" w:hAnsi="仿宋_GB2312" w:cs="仿宋_GB2312" w:eastAsia="仿宋_GB2312"/>
              </w:rPr>
              <w:t>1.项目负责人同时具有土地估价师和土地利用类高级(含副高)职称的得2分。 2..项目组成员具备土地估价师6人的得3分，每增加1人的0.5分，最多得6分。 3.项目组成员具备注册测绘师的，每增加1人得0.5分，最多得2分。 （注：项目组成员需为本单位人员，并提供证书及社保证明）</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