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科尔沁镇设施农业产业园项目三期</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科尔沁右翼前旗科尔沁镇人民政府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建友工程服务有限公司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152221-1522-CS-20250002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建友工程服务有限公司</w:t>
      </w:r>
      <w:r>
        <w:rPr>
          <w:rFonts w:ascii="仿宋_GB2312" w:hAnsi="仿宋_GB2312" w:cs="仿宋_GB2312" w:eastAsia="仿宋_GB2312"/>
        </w:rPr>
        <w:t xml:space="preserve"> 受 </w:t>
      </w:r>
      <w:r>
        <w:rPr>
          <w:rFonts w:ascii="仿宋_GB2312" w:hAnsi="仿宋_GB2312" w:cs="仿宋_GB2312" w:eastAsia="仿宋_GB2312"/>
        </w:rPr>
        <w:t>科尔沁右翼前旗科尔沁镇人民政府</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科尔沁镇设施农业产业园项目三期</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科尔沁镇设施农业产业园项目三期</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152221-1522-CS-20250002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科右前旗财购计划[2025]00009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1,279,872.00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工程</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1,279,872.00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建友工程服务有限公司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内蒙古自治区兴安盟科右前旗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郑女士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13234820303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科尔沁右翼前旗科尔沁镇人民政府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科尔沁右翼前旗科尔沁镇远征村</w:t>
      </w:r>
    </w:p>
    <w:p>
      <w:pPr>
        <w:pStyle w:val="null5"/>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许彬</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13948292982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代理服务费收费标准：参考内工建协【2022】34号文件收取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采购包1：不属于专门面向中小企业采购。</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科尔沁右翼前旗科尔沁镇人民政府</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建友工程服务有限公司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 xml:space="preserve"> 科尔沁镇设施农业产业园项目三期</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商务要求性质</w:t>
            </w:r>
          </w:p>
        </w:tc>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商务要求明细</w:t>
            </w:r>
          </w:p>
        </w:tc>
      </w:tr>
      <w:tr>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技术部分编写不超5万字。</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税收违法黑名单、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技术部分68.00分</w:t>
            </w:r>
          </w:p>
          <w:p>
            <w:pPr>
              <w:pStyle w:val="null5"/>
              <w:jc w:val="left"/>
            </w:pPr>
            <w:r>
              <w:rPr>
                <w:rFonts w:ascii="仿宋_GB2312" w:hAnsi="仿宋_GB2312" w:cs="仿宋_GB2312" w:eastAsia="仿宋_GB2312"/>
              </w:rPr>
              <w:t>商务部分2.00分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主要施工部位施工方法</w:t>
            </w:r>
          </w:p>
        </w:tc>
        <w:tc>
          <w:tcPr>
            <w:tcW w:type="dxa" w:w="3115"/>
          </w:tcPr>
          <w:p>
            <w:pPr>
              <w:pStyle w:val="null5"/>
              <w:jc w:val="left"/>
            </w:pPr>
            <w:r>
              <w:rPr>
                <w:rFonts w:ascii="仿宋_GB2312" w:hAnsi="仿宋_GB2312" w:cs="仿宋_GB2312" w:eastAsia="仿宋_GB2312"/>
              </w:rPr>
              <w:t>施工组织设计中主要部位施工方法正确的最高加10分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质量控制措施</w:t>
            </w:r>
          </w:p>
        </w:tc>
        <w:tc>
          <w:tcPr>
            <w:tcW w:type="dxa" w:w="3115"/>
          </w:tcPr>
          <w:p>
            <w:pPr>
              <w:pStyle w:val="null5"/>
              <w:jc w:val="left"/>
            </w:pPr>
            <w:r>
              <w:rPr>
                <w:rFonts w:ascii="仿宋_GB2312" w:hAnsi="仿宋_GB2312" w:cs="仿宋_GB2312" w:eastAsia="仿宋_GB2312"/>
              </w:rPr>
              <w:t>质量控制措施得当切实可行的最高10分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主要施工进度计划</w:t>
            </w:r>
          </w:p>
        </w:tc>
        <w:tc>
          <w:tcPr>
            <w:tcW w:type="dxa" w:w="3115"/>
          </w:tcPr>
          <w:p>
            <w:pPr>
              <w:pStyle w:val="null5"/>
              <w:jc w:val="left"/>
            </w:pPr>
            <w:r>
              <w:rPr>
                <w:rFonts w:ascii="仿宋_GB2312" w:hAnsi="仿宋_GB2312" w:cs="仿宋_GB2312" w:eastAsia="仿宋_GB2312"/>
              </w:rPr>
              <w:t>主要施工进度计划安排合理的最高得10分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主要施工机械安排</w:t>
            </w:r>
          </w:p>
        </w:tc>
        <w:tc>
          <w:tcPr>
            <w:tcW w:type="dxa" w:w="3115"/>
          </w:tcPr>
          <w:p>
            <w:pPr>
              <w:pStyle w:val="null5"/>
              <w:jc w:val="left"/>
            </w:pPr>
            <w:r>
              <w:rPr>
                <w:rFonts w:ascii="仿宋_GB2312" w:hAnsi="仿宋_GB2312" w:cs="仿宋_GB2312" w:eastAsia="仿宋_GB2312"/>
              </w:rPr>
              <w:t>主要施工机械齐全、安排合理的最高得10分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安全生产控制措施</w:t>
            </w:r>
          </w:p>
        </w:tc>
        <w:tc>
          <w:tcPr>
            <w:tcW w:type="dxa" w:w="3115"/>
          </w:tcPr>
          <w:p>
            <w:pPr>
              <w:pStyle w:val="null5"/>
              <w:jc w:val="left"/>
            </w:pPr>
            <w:r>
              <w:rPr>
                <w:rFonts w:ascii="仿宋_GB2312" w:hAnsi="仿宋_GB2312" w:cs="仿宋_GB2312" w:eastAsia="仿宋_GB2312"/>
              </w:rPr>
              <w:t>安全生产控制措施切实可行的最高得10分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材料使用计划安排</w:t>
            </w:r>
          </w:p>
        </w:tc>
        <w:tc>
          <w:tcPr>
            <w:tcW w:type="dxa" w:w="3115"/>
          </w:tcPr>
          <w:p>
            <w:pPr>
              <w:pStyle w:val="null5"/>
              <w:jc w:val="left"/>
            </w:pPr>
            <w:r>
              <w:rPr>
                <w:rFonts w:ascii="仿宋_GB2312" w:hAnsi="仿宋_GB2312" w:cs="仿宋_GB2312" w:eastAsia="仿宋_GB2312"/>
              </w:rPr>
              <w:t>材料使用计划安排合理的最高得5分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总平面布置图布置</w:t>
            </w:r>
          </w:p>
        </w:tc>
        <w:tc>
          <w:tcPr>
            <w:tcW w:type="dxa" w:w="3115"/>
          </w:tcPr>
          <w:p>
            <w:pPr>
              <w:pStyle w:val="null5"/>
              <w:jc w:val="left"/>
            </w:pPr>
            <w:r>
              <w:rPr>
                <w:rFonts w:ascii="仿宋_GB2312" w:hAnsi="仿宋_GB2312" w:cs="仿宋_GB2312" w:eastAsia="仿宋_GB2312"/>
              </w:rPr>
              <w:t>总平面布置图布置正确合理的最高得5分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防止环境污染、减少扰民、降低噪声等保护文明施工</w:t>
            </w:r>
          </w:p>
        </w:tc>
        <w:tc>
          <w:tcPr>
            <w:tcW w:type="dxa" w:w="3115"/>
          </w:tcPr>
          <w:p>
            <w:pPr>
              <w:pStyle w:val="null5"/>
              <w:jc w:val="left"/>
            </w:pPr>
            <w:r>
              <w:rPr>
                <w:rFonts w:ascii="仿宋_GB2312" w:hAnsi="仿宋_GB2312" w:cs="仿宋_GB2312" w:eastAsia="仿宋_GB2312"/>
              </w:rPr>
              <w:t>防止环境污染、减少扰民、降低噪声等保护文明施工合理最高得 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冬雨季施工</w:t>
            </w:r>
          </w:p>
        </w:tc>
        <w:tc>
          <w:tcPr>
            <w:tcW w:type="dxa" w:w="3115"/>
          </w:tcPr>
          <w:p>
            <w:pPr>
              <w:pStyle w:val="null5"/>
              <w:jc w:val="left"/>
            </w:pPr>
            <w:r>
              <w:rPr>
                <w:rFonts w:ascii="仿宋_GB2312" w:hAnsi="仿宋_GB2312" w:cs="仿宋_GB2312" w:eastAsia="仿宋_GB2312"/>
              </w:rPr>
              <w:t>冬雨季施工计划措施合理的，加4分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提供类似项目业绩的，有一项得1分，最多得2分。（注：以中标通知书和合同为准）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1.00%</w:t>
            </w:r>
          </w:p>
        </w:tc>
        <w:tc>
          <w:tcPr>
            <w:tcW w:type="dxa" w:w="2492"/>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1%—2%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3.00%</w:t>
            </w:r>
          </w:p>
        </w:tc>
        <w:tc>
          <w:tcPr>
            <w:tcW w:type="dxa" w:w="2492"/>
          </w:tcPr>
          <w:p>
            <w:pPr>
              <w:pStyle w:val="null5"/>
              <w:jc w:val="left"/>
            </w:pPr>
            <w:r>
              <w:rPr>
                <w:rFonts w:ascii="仿宋_GB2312" w:hAnsi="仿宋_GB2312" w:cs="仿宋_GB2312" w:eastAsia="仿宋_GB2312"/>
              </w:rPr>
              <w:t>1、对小、微企业报价给予3%—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