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科右前旗大富豪矿产品有限公司叶腊石矿矿山修复治理项目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科尔沁右翼前旗自然资源局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内蒙古奇信工程项目管理有限公司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152221-NMQXGC-CS-20250001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内蒙古奇信工程项目管理有限公司</w:t>
      </w:r>
      <w:r>
        <w:rPr>
          <w:rFonts w:ascii="仿宋_GB2312" w:hAnsi="仿宋_GB2312" w:cs="仿宋_GB2312" w:eastAsia="仿宋_GB2312"/>
        </w:rPr>
        <w:t xml:space="preserve"> 受 </w:t>
      </w:r>
      <w:r>
        <w:rPr>
          <w:rFonts w:ascii="仿宋_GB2312" w:hAnsi="仿宋_GB2312" w:cs="仿宋_GB2312" w:eastAsia="仿宋_GB2312"/>
        </w:rPr>
        <w:t>科尔沁右翼前旗自然资源局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科右前旗大富豪矿产品有限公司叶腊石矿矿山修复治理项目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科右前旗大富豪矿产品有限公司叶腊石矿矿山修复治理项目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152221-NMQXGC-CS-20250001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科右前旗财购计划[2025]00003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855,100.00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科右前旗大富豪矿产品有限公司叶腊石矿矿山修复治理项目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855,100.00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1、具有独立承担民事责任的能力：审查供应商营业执照等证明文件或者身份证明。</w:t>
      </w:r>
    </w:p>
    <w:p>
      <w:pPr>
        <w:pStyle w:val="null5"/>
        <w:jc w:val="left"/>
      </w:pPr>
      <w:r>
        <w:rPr>
          <w:rFonts w:ascii="仿宋_GB2312" w:hAnsi="仿宋_GB2312" w:cs="仿宋_GB2312" w:eastAsia="仿宋_GB2312"/>
        </w:rPr>
        <w:t>2、具有良好的商业信誉和健全的财务会计制度：审查供应商提供的具有良好的商业信誉和健全的财务会计制度的相关材料。可提供“具有良好的商业信誉和健全 的财务会计制度”的承诺并加盖公章。</w:t>
      </w:r>
    </w:p>
    <w:p>
      <w:pPr>
        <w:pStyle w:val="null5"/>
        <w:jc w:val="left"/>
      </w:pPr>
      <w:r>
        <w:rPr>
          <w:rFonts w:ascii="仿宋_GB2312" w:hAnsi="仿宋_GB2312" w:cs="仿宋_GB2312" w:eastAsia="仿宋_GB2312"/>
        </w:rPr>
        <w:t>3、有依法缴纳税收和社会保障资金的良好记录：审查供应商提供的依法缴纳税收和社会保障资金的相关材料。可根据自身情况作出“依法缴纳税收和社保”的承诺并加盖公章。</w:t>
      </w:r>
    </w:p>
    <w:p>
      <w:pPr>
        <w:pStyle w:val="null5"/>
        <w:jc w:val="left"/>
      </w:pPr>
      <w:r>
        <w:rPr>
          <w:rFonts w:ascii="仿宋_GB2312" w:hAnsi="仿宋_GB2312" w:cs="仿宋_GB2312" w:eastAsia="仿宋_GB2312"/>
        </w:rPr>
        <w:t>4、具有履行合同所必须的设备和专业技术能力：审查供应商提供的具有履行合同所必需的设备和专业技术能力的证明材料。可提供“具有履行合同所必需的设备和专业技术能力”的承诺并加盖公章。</w:t>
      </w:r>
    </w:p>
    <w:p>
      <w:pPr>
        <w:pStyle w:val="null5"/>
        <w:jc w:val="left"/>
      </w:pPr>
      <w:r>
        <w:rPr>
          <w:rFonts w:ascii="仿宋_GB2312" w:hAnsi="仿宋_GB2312" w:cs="仿宋_GB2312" w:eastAsia="仿宋_GB2312"/>
        </w:rPr>
        <w:t>5、参加采购活动前3年内，在经营活动中没有重大违法记录：审查供应商参加本次采购活动前3年内在经营活动中没有重大违法记录的书面声明。</w:t>
      </w:r>
    </w:p>
    <w:p>
      <w:pPr>
        <w:pStyle w:val="null5"/>
        <w:jc w:val="left"/>
      </w:pPr>
      <w:r>
        <w:rPr>
          <w:rFonts w:ascii="仿宋_GB2312" w:hAnsi="仿宋_GB2312" w:cs="仿宋_GB2312" w:eastAsia="仿宋_GB2312"/>
        </w:rPr>
        <w:t>6、信用记录：资格审查时，供应商未被列入失信被执行人、税收违法黑名单、政府采购严重违法失信行为记录名单。</w:t>
      </w:r>
    </w:p>
    <w:p>
      <w:pPr>
        <w:pStyle w:val="null5"/>
        <w:jc w:val="left"/>
      </w:pPr>
      <w:r>
        <w:rPr>
          <w:rFonts w:ascii="仿宋_GB2312" w:hAnsi="仿宋_GB2312" w:cs="仿宋_GB2312" w:eastAsia="仿宋_GB2312"/>
        </w:rPr>
        <w:t>7、联合体响应（若有）：符合关于联合体响应的相关规定。</w:t>
      </w:r>
    </w:p>
    <w:p>
      <w:pPr>
        <w:pStyle w:val="null5"/>
        <w:jc w:val="left"/>
      </w:pPr>
      <w:r>
        <w:rPr>
          <w:rFonts w:ascii="仿宋_GB2312" w:hAnsi="仿宋_GB2312" w:cs="仿宋_GB2312" w:eastAsia="仿宋_GB2312"/>
        </w:rPr>
        <w:t>8、资质要求：供应商需具备建筑行政主管部门颁发的建筑工程（或市政公用工程）施工总承包叁级级以上资质，并具有效的备安全生产许可证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单项工程投标价偏差±10%，整体工程单价等比例下浮</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内蒙古奇信工程项目管理有限公司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内蒙古自治区兴安盟科尔沁右翼前旗内蒙古自治区兴安盟科尔沁右翼前旗科尔沁镇兴科家园一期3号楼7号门市</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宝安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15540003500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科尔沁右翼前旗自然资源局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科尔沁右翼前旗新址</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王作鸿</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15705013331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{{未填写}}</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代理服务费收费标准：参照《内工建协[2022]34号》、《内工建协[2022]35号》协商收取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科尔沁右翼前旗自然资源局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内蒙古奇信工程项目管理有限公司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科右前旗大富豪矿产品有限公司叶腊石矿矿山修复治理项目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单项工程投标价偏差±10%，整体工程单价等比例下浮</w:t>
            </w:r>
            <w:r>
              <w:br/>
            </w:r>
            <w:r>
              <w:rPr>
                <w:rFonts w:ascii="仿宋_GB2312" w:hAnsi="仿宋_GB2312" w:cs="仿宋_GB2312" w:eastAsia="仿宋_GB2312"/>
              </w:rPr>
              <w:t xml:space="preserve">  </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标的名称：科右前旗大富豪矿产品有限公司叶腊石矿矿山修复治理项目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2"/>
              <w:gridCol w:w="278"/>
              <w:gridCol w:w="676"/>
              <w:gridCol w:w="243"/>
              <w:gridCol w:w="327"/>
              <w:gridCol w:w="256"/>
              <w:gridCol w:w="353"/>
              <w:gridCol w:w="199"/>
            </w:tblGrid>
            <w:tr>
              <w:tc>
                <w:tcPr>
                  <w:tcW w:type="dxa" w:w="2544"/>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40"/>
                      <w:b/>
                    </w:rPr>
                    <w:t>工程量清单计价表</w:t>
                  </w:r>
                </w:p>
              </w:tc>
            </w:tr>
            <w:tr>
              <w:tc>
                <w:tcPr>
                  <w:tcW w:type="dxa" w:w="2544"/>
                  <w:gridSpan w:val="8"/>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5"/>
                    <w:jc w:val="left"/>
                  </w:pPr>
                  <w:r>
                    <w:rPr>
                      <w:rFonts w:ascii="仿宋_GB2312" w:hAnsi="仿宋_GB2312" w:cs="仿宋_GB2312" w:eastAsia="仿宋_GB2312"/>
                      <w:sz w:val="18"/>
                    </w:rPr>
                    <w:t>工程名称：科右前旗大富豪矿产品有限公司叶腊石矿矿山修复治理项目</w:t>
                  </w:r>
                </w:p>
              </w:tc>
            </w:tr>
            <w:tr>
              <w:tc>
                <w:tcPr>
                  <w:tcW w:type="dxa" w:w="21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序号</w:t>
                  </w:r>
                </w:p>
              </w:tc>
              <w:tc>
                <w:tcPr>
                  <w:tcW w:type="dxa" w:w="27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定额编号</w:t>
                  </w:r>
                </w:p>
              </w:tc>
              <w:tc>
                <w:tcPr>
                  <w:tcW w:type="dxa" w:w="6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项目名称</w:t>
                  </w:r>
                </w:p>
              </w:tc>
              <w:tc>
                <w:tcPr>
                  <w:tcW w:type="dxa" w:w="24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计量单位</w:t>
                  </w:r>
                </w:p>
              </w:tc>
              <w:tc>
                <w:tcPr>
                  <w:tcW w:type="dxa" w:w="32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工程量</w:t>
                  </w:r>
                </w:p>
              </w:tc>
              <w:tc>
                <w:tcPr>
                  <w:tcW w:type="dxa" w:w="808"/>
                  <w:gridSpan w:val="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金额（元）</w:t>
                  </w:r>
                </w:p>
              </w:tc>
            </w:tr>
            <w:tr>
              <w:tc>
                <w:tcPr>
                  <w:tcW w:type="dxa" w:w="21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676"/>
                  <w:vMerge/>
                  <w:tcBorders>
                    <w:top w:val="single" w:color="000000" w:sz="4"/>
                    <w:left w:val="single" w:color="000000" w:sz="4"/>
                    <w:bottom w:val="single" w:color="000000" w:sz="4"/>
                    <w:right w:val="single" w:color="000000" w:sz="4"/>
                  </w:tcBorders>
                </w:tcPr>
                <w:p/>
              </w:tc>
              <w:tc>
                <w:tcPr>
                  <w:tcW w:type="dxa" w:w="243"/>
                  <w:vMerge/>
                  <w:tcBorders>
                    <w:top w:val="single" w:color="000000" w:sz="4"/>
                    <w:left w:val="single" w:color="000000" w:sz="4"/>
                    <w:bottom w:val="single" w:color="000000" w:sz="4"/>
                    <w:right w:val="single" w:color="000000" w:sz="4"/>
                  </w:tcBorders>
                </w:tcPr>
                <w:p/>
              </w:tc>
              <w:tc>
                <w:tcPr>
                  <w:tcW w:type="dxa" w:w="327"/>
                  <w:vMerge/>
                  <w:tcBorders>
                    <w:top w:val="single" w:color="000000" w:sz="4"/>
                    <w:left w:val="single" w:color="000000" w:sz="4"/>
                    <w:bottom w:val="single" w:color="000000" w:sz="4"/>
                    <w:right w:val="single" w:color="000000" w:sz="4"/>
                  </w:tcBorders>
                </w:tcPr>
                <w:p/>
              </w:tc>
              <w:tc>
                <w:tcPr>
                  <w:tcW w:type="dxa" w:w="256"/>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综合单价</w:t>
                  </w:r>
                </w:p>
              </w:tc>
              <w:tc>
                <w:tcPr>
                  <w:tcW w:type="dxa" w:w="353"/>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合价</w:t>
                  </w:r>
                </w:p>
              </w:tc>
              <w:tc>
                <w:tcPr>
                  <w:tcW w:type="dxa" w:w="199"/>
                  <w:vMerge w:val="restart"/>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rPr>
                    <w:t>备注</w:t>
                  </w:r>
                </w:p>
              </w:tc>
            </w:tr>
            <w:tr>
              <w:tc>
                <w:tcPr>
                  <w:tcW w:type="dxa" w:w="212"/>
                  <w:vMerge/>
                  <w:tcBorders>
                    <w:top w:val="single" w:color="000000" w:sz="4"/>
                    <w:left w:val="single" w:color="000000" w:sz="4"/>
                    <w:bottom w:val="single" w:color="000000" w:sz="4"/>
                    <w:right w:val="single" w:color="000000" w:sz="4"/>
                  </w:tcBorders>
                </w:tcPr>
                <w:p/>
              </w:tc>
              <w:tc>
                <w:tcPr>
                  <w:tcW w:type="dxa" w:w="278"/>
                  <w:vMerge/>
                  <w:tcBorders>
                    <w:top w:val="single" w:color="000000" w:sz="4"/>
                    <w:left w:val="single" w:color="000000" w:sz="4"/>
                    <w:bottom w:val="single" w:color="000000" w:sz="4"/>
                    <w:right w:val="single" w:color="000000" w:sz="4"/>
                  </w:tcBorders>
                </w:tcPr>
                <w:p/>
              </w:tc>
              <w:tc>
                <w:tcPr>
                  <w:tcW w:type="dxa" w:w="676"/>
                  <w:vMerge/>
                  <w:tcBorders>
                    <w:top w:val="single" w:color="000000" w:sz="4"/>
                    <w:left w:val="single" w:color="000000" w:sz="4"/>
                    <w:bottom w:val="single" w:color="000000" w:sz="4"/>
                    <w:right w:val="single" w:color="000000" w:sz="4"/>
                  </w:tcBorders>
                </w:tcPr>
                <w:p/>
              </w:tc>
              <w:tc>
                <w:tcPr>
                  <w:tcW w:type="dxa" w:w="243"/>
                  <w:vMerge/>
                  <w:tcBorders>
                    <w:top w:val="single" w:color="000000" w:sz="4"/>
                    <w:left w:val="single" w:color="000000" w:sz="4"/>
                    <w:bottom w:val="single" w:color="000000" w:sz="4"/>
                    <w:right w:val="single" w:color="000000" w:sz="4"/>
                  </w:tcBorders>
                </w:tcPr>
                <w:p/>
              </w:tc>
              <w:tc>
                <w:tcPr>
                  <w:tcW w:type="dxa" w:w="327"/>
                  <w:vMerge/>
                  <w:tcBorders>
                    <w:top w:val="single" w:color="000000" w:sz="4"/>
                    <w:left w:val="single" w:color="000000" w:sz="4"/>
                    <w:bottom w:val="single" w:color="000000" w:sz="4"/>
                    <w:right w:val="single" w:color="000000" w:sz="4"/>
                  </w:tcBorders>
                </w:tcPr>
                <w:p/>
              </w:tc>
              <w:tc>
                <w:tcPr>
                  <w:tcW w:type="dxa" w:w="256"/>
                  <w:vMerge/>
                  <w:tcBorders>
                    <w:top w:val="none" w:color="000000" w:sz="4"/>
                    <w:left w:val="single" w:color="000000" w:sz="4"/>
                    <w:bottom w:val="single" w:color="000000" w:sz="4"/>
                    <w:right w:val="single" w:color="000000" w:sz="4"/>
                  </w:tcBorders>
                </w:tcPr>
                <w:p/>
              </w:tc>
              <w:tc>
                <w:tcPr>
                  <w:tcW w:type="dxa" w:w="353"/>
                  <w:vMerge/>
                  <w:tcBorders>
                    <w:top w:val="none" w:color="000000" w:sz="4"/>
                    <w:left w:val="single" w:color="000000" w:sz="4"/>
                    <w:bottom w:val="single" w:color="000000" w:sz="4"/>
                    <w:right w:val="single" w:color="000000" w:sz="4"/>
                  </w:tcBorders>
                </w:tcPr>
                <w:p/>
              </w:tc>
              <w:tc>
                <w:tcPr>
                  <w:tcW w:type="dxa" w:w="199"/>
                  <w:vMerge/>
                  <w:tcBorders>
                    <w:top w:val="none" w:color="000000" w:sz="4"/>
                    <w:left w:val="single" w:color="000000" w:sz="4"/>
                    <w:bottom w:val="single" w:color="000000" w:sz="4"/>
                    <w:right w:val="single" w:color="000000" w:sz="4"/>
                  </w:tcBorders>
                </w:tcP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一</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矿区内</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b/>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（一）</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土方工程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10230</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覆土，推运30-40m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1313</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10228</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表土平整，推运10-20m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438</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（二）</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石方工程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改20272</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清运回填，推矩20m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211</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改20275</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清运回填，推矩50m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6986</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3</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20306</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清运回填，推矩60-80m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24329</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4</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20306</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清运回填，推矩100m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2145</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5</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20354</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岩质削坡（清除危岩体）</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374</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（三）</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植物工程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50030</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撒播草籽（三类土）</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hm2</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2.056</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二</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矿区外</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b/>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b/>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（一）</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土方工程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10230</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覆土，推运30-40m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3160</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10228</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表土平整，推运10-20m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1053</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（二）</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石方工程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改20275</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清运回填，推矩50m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6602</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20306</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清运回填，推矩60-80m</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2656</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3</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20354</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岩质削坡（清除危岩体）</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m³</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547</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2"/>
                    </w:rPr>
                    <w:t>（三）</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植物工程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50030</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撒播草籽（三类土）</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hm2</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2.4886</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（四）</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辅助工程</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警示牌</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个</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1</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2"/>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rPr>
                    <w:t>　</w:t>
                  </w:r>
                </w:p>
              </w:tc>
            </w:tr>
            <w:tr>
              <w:tc>
                <w:tcPr>
                  <w:tcW w:type="dxa" w:w="212"/>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18"/>
                      <w:b/>
                    </w:rPr>
                    <w:t>三</w:t>
                  </w:r>
                </w:p>
              </w:tc>
              <w:tc>
                <w:tcPr>
                  <w:tcW w:type="dxa" w:w="278"/>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rPr>
                    <w:t>　</w:t>
                  </w:r>
                </w:p>
              </w:tc>
              <w:tc>
                <w:tcPr>
                  <w:tcW w:type="dxa" w:w="67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rPr>
                    <w:t>（一）+（二）</w:t>
                  </w:r>
                </w:p>
              </w:tc>
              <w:tc>
                <w:tcPr>
                  <w:tcW w:type="dxa" w:w="24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b/>
                    </w:rPr>
                    <w:t>　</w:t>
                  </w:r>
                </w:p>
              </w:tc>
              <w:tc>
                <w:tcPr>
                  <w:tcW w:type="dxa" w:w="327"/>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left"/>
                  </w:pPr>
                  <w:r>
                    <w:rPr>
                      <w:rFonts w:ascii="仿宋_GB2312" w:hAnsi="仿宋_GB2312" w:cs="仿宋_GB2312" w:eastAsia="仿宋_GB2312"/>
                      <w:sz w:val="24"/>
                      <w:b/>
                    </w:rPr>
                    <w:t>　</w:t>
                  </w:r>
                </w:p>
              </w:tc>
              <w:tc>
                <w:tcPr>
                  <w:tcW w:type="dxa" w:w="256"/>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rPr>
                    <w:t>　</w:t>
                  </w:r>
                </w:p>
              </w:tc>
              <w:tc>
                <w:tcPr>
                  <w:tcW w:type="dxa" w:w="35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center"/>
                  </w:pPr>
                  <w:r>
                    <w:rPr>
                      <w:rFonts w:ascii="仿宋_GB2312" w:hAnsi="仿宋_GB2312" w:cs="仿宋_GB2312" w:eastAsia="仿宋_GB2312"/>
                      <w:sz w:val="24"/>
                      <w:b/>
                    </w:rPr>
                    <w:t>　</w:t>
                  </w:r>
                </w:p>
              </w:tc>
              <w:tc>
                <w:tcPr>
                  <w:tcW w:type="dxa" w:w="199"/>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5"/>
                    <w:jc w:val="right"/>
                  </w:pPr>
                  <w:r>
                    <w:rPr>
                      <w:rFonts w:ascii="仿宋_GB2312" w:hAnsi="仿宋_GB2312" w:cs="仿宋_GB2312" w:eastAsia="仿宋_GB2312"/>
                      <w:sz w:val="18"/>
                      <w:b/>
                    </w:rPr>
                    <w:t>　</w:t>
                  </w:r>
                </w:p>
              </w:tc>
            </w:tr>
          </w:tbl>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单项工程投标价偏差±10%，整体工程单价等比例下浮</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06"/>
            <w:gridSpan w:val="3"/>
          </w:tcPr>
          <w:p>
            <w:pPr>
              <w:pStyle w:val="null5"/>
              <w:jc w:val="left"/>
            </w:pPr>
            <w:r>
              <w:rPr>
                <w:rFonts w:ascii="仿宋_GB2312" w:hAnsi="仿宋_GB2312" w:cs="仿宋_GB2312" w:eastAsia="仿宋_GB2312"/>
              </w:rPr>
              <w:t xml:space="preserve"> {{未填写}}</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具有独立承担民事责任的能力</w:t>
            </w:r>
          </w:p>
        </w:tc>
        <w:tc>
          <w:tcPr>
            <w:tcW w:type="dxa" w:w="4984"/>
          </w:tcPr>
          <w:p>
            <w:pPr>
              <w:pStyle w:val="null5"/>
              <w:jc w:val="left"/>
            </w:pPr>
            <w:r>
              <w:rPr>
                <w:rFonts w:ascii="仿宋_GB2312" w:hAnsi="仿宋_GB2312" w:cs="仿宋_GB2312" w:eastAsia="仿宋_GB2312"/>
              </w:rPr>
              <w:t>审查供应商营业执照等证明文件或者身份证明。</w:t>
            </w:r>
          </w:p>
        </w:tc>
      </w:tr>
      <w:tr>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984"/>
          </w:tcPr>
          <w:p>
            <w:pPr>
              <w:pStyle w:val="null5"/>
              <w:jc w:val="left"/>
            </w:pPr>
            <w:r>
              <w:rPr>
                <w:rFonts w:ascii="仿宋_GB2312" w:hAnsi="仿宋_GB2312" w:cs="仿宋_GB2312" w:eastAsia="仿宋_GB2312"/>
              </w:rPr>
              <w:t>审查供应商提供的具有良好的商业信誉和健全的财务会计制度的相关材料。可提供“具有良好的商业信誉和健全 的财务会计制度”的承诺并加盖公章。</w:t>
            </w:r>
          </w:p>
        </w:tc>
      </w:tr>
      <w:tr>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984"/>
          </w:tcPr>
          <w:p>
            <w:pPr>
              <w:pStyle w:val="null5"/>
              <w:jc w:val="left"/>
            </w:pPr>
            <w:r>
              <w:rPr>
                <w:rFonts w:ascii="仿宋_GB2312" w:hAnsi="仿宋_GB2312" w:cs="仿宋_GB2312" w:eastAsia="仿宋_GB2312"/>
              </w:rPr>
              <w:t>审查供应商提供的依法缴纳税收和社会保障资金的相关材料。可根据自身情况作出“依法缴纳税收和社保”的承诺并加盖公章。</w:t>
            </w:r>
          </w:p>
        </w:tc>
      </w:tr>
      <w:tr>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984"/>
          </w:tcPr>
          <w:p>
            <w:pPr>
              <w:pStyle w:val="null5"/>
              <w:jc w:val="left"/>
            </w:pPr>
            <w:r>
              <w:rPr>
                <w:rFonts w:ascii="仿宋_GB2312" w:hAnsi="仿宋_GB2312" w:cs="仿宋_GB2312" w:eastAsia="仿宋_GB2312"/>
              </w:rPr>
              <w:t>审查供应商提供的具有履行合同所必需的设备和专业技术能力的证明材料。可提供“具有履行合同所必需的设备和专业技术能力”的承诺并加盖公章。</w:t>
            </w:r>
          </w:p>
        </w:tc>
      </w:tr>
      <w:tr>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984"/>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3322"/>
          </w:tcPr>
          <w:p>
            <w:pPr>
              <w:pStyle w:val="null5"/>
              <w:jc w:val="left"/>
            </w:pPr>
            <w:r>
              <w:rPr>
                <w:rFonts w:ascii="仿宋_GB2312" w:hAnsi="仿宋_GB2312" w:cs="仿宋_GB2312" w:eastAsia="仿宋_GB2312"/>
              </w:rPr>
              <w:t>信用记录</w:t>
            </w:r>
          </w:p>
        </w:tc>
        <w:tc>
          <w:tcPr>
            <w:tcW w:type="dxa" w:w="4984"/>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3322"/>
          </w:tcPr>
          <w:p>
            <w:pPr>
              <w:pStyle w:val="null5"/>
              <w:jc w:val="left"/>
            </w:pPr>
            <w:r>
              <w:rPr>
                <w:rFonts w:ascii="仿宋_GB2312" w:hAnsi="仿宋_GB2312" w:cs="仿宋_GB2312" w:eastAsia="仿宋_GB2312"/>
              </w:rPr>
              <w:t>联合体响应（若有）</w:t>
            </w:r>
          </w:p>
        </w:tc>
        <w:tc>
          <w:tcPr>
            <w:tcW w:type="dxa" w:w="4984"/>
          </w:tcPr>
          <w:p>
            <w:pPr>
              <w:pStyle w:val="null5"/>
              <w:jc w:val="left"/>
            </w:pPr>
            <w:r>
              <w:rPr>
                <w:rFonts w:ascii="仿宋_GB2312" w:hAnsi="仿宋_GB2312" w:cs="仿宋_GB2312" w:eastAsia="仿宋_GB2312"/>
              </w:rPr>
              <w:t>符合关于联合体响应的相关规定。</w:t>
            </w:r>
          </w:p>
        </w:tc>
      </w:tr>
      <w:tr>
        <w:tc>
          <w:tcPr>
            <w:tcW w:type="dxa" w:w="3322"/>
          </w:tcPr>
          <w:p>
            <w:pPr>
              <w:pStyle w:val="null5"/>
              <w:jc w:val="left"/>
            </w:pPr>
            <w:r>
              <w:rPr>
                <w:rFonts w:ascii="仿宋_GB2312" w:hAnsi="仿宋_GB2312" w:cs="仿宋_GB2312" w:eastAsia="仿宋_GB2312"/>
              </w:rPr>
              <w:t>资质要求</w:t>
            </w:r>
          </w:p>
        </w:tc>
        <w:tc>
          <w:tcPr>
            <w:tcW w:type="dxa" w:w="4984"/>
          </w:tcPr>
          <w:p>
            <w:pPr>
              <w:pStyle w:val="null5"/>
              <w:jc w:val="left"/>
            </w:pPr>
            <w:r>
              <w:rPr>
                <w:rFonts w:ascii="仿宋_GB2312" w:hAnsi="仿宋_GB2312" w:cs="仿宋_GB2312" w:eastAsia="仿宋_GB2312"/>
              </w:rPr>
              <w:t>供应商需具备建筑行政主管部门颁发的建筑工程（或市政公用工程）施工总承包叁级级以上资质，并具有效的备安全生产许可证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主要部位施工方案法</w:t>
            </w:r>
          </w:p>
        </w:tc>
        <w:tc>
          <w:tcPr>
            <w:tcW w:type="dxa" w:w="3115"/>
          </w:tcPr>
          <w:p>
            <w:pPr>
              <w:pStyle w:val="null5"/>
              <w:jc w:val="left"/>
            </w:pPr>
            <w:r>
              <w:rPr>
                <w:rFonts w:ascii="仿宋_GB2312" w:hAnsi="仿宋_GB2312" w:cs="仿宋_GB2312" w:eastAsia="仿宋_GB2312"/>
              </w:rPr>
              <w:t>施工组织设计中主要部位施工方法合理可行，有充分保障的得10分；施工方法基本合理可行，有保障的得6分；施工方法可行得2分；未提供得0分。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施工机械和材料安排</w:t>
            </w:r>
          </w:p>
        </w:tc>
        <w:tc>
          <w:tcPr>
            <w:tcW w:type="dxa" w:w="3115"/>
          </w:tcPr>
          <w:p>
            <w:pPr>
              <w:pStyle w:val="null5"/>
              <w:jc w:val="left"/>
            </w:pPr>
            <w:r>
              <w:rPr>
                <w:rFonts w:ascii="仿宋_GB2312" w:hAnsi="仿宋_GB2312" w:cs="仿宋_GB2312" w:eastAsia="仿宋_GB2312"/>
              </w:rPr>
              <w:t>主要施工机械设备齐全、材料进场安排合理的得5分；基本合理得2分；未提供得0分。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总平面布置图</w:t>
            </w:r>
          </w:p>
        </w:tc>
        <w:tc>
          <w:tcPr>
            <w:tcW w:type="dxa" w:w="3115"/>
          </w:tcPr>
          <w:p>
            <w:pPr>
              <w:pStyle w:val="null5"/>
              <w:jc w:val="left"/>
            </w:pPr>
            <w:r>
              <w:rPr>
                <w:rFonts w:ascii="仿宋_GB2312" w:hAnsi="仿宋_GB2312" w:cs="仿宋_GB2312" w:eastAsia="仿宋_GB2312"/>
              </w:rPr>
              <w:t>总平面布置图正确合理的得5分；基本合理得2分；未提供得0分。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工程进度计划和切实可行的工期保障措施最高得5分；基本合理得2分；未提供得0分。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劳动力安排计划</w:t>
            </w:r>
          </w:p>
        </w:tc>
        <w:tc>
          <w:tcPr>
            <w:tcW w:type="dxa" w:w="3115"/>
          </w:tcPr>
          <w:p>
            <w:pPr>
              <w:pStyle w:val="null5"/>
              <w:jc w:val="left"/>
            </w:pPr>
            <w:r>
              <w:rPr>
                <w:rFonts w:ascii="仿宋_GB2312" w:hAnsi="仿宋_GB2312" w:cs="仿宋_GB2312" w:eastAsia="仿宋_GB2312"/>
              </w:rPr>
              <w:t>劳动力安排计划配合理的得5分；基本合理得2分；未提供得0分。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质量控制措施</w:t>
            </w:r>
          </w:p>
        </w:tc>
        <w:tc>
          <w:tcPr>
            <w:tcW w:type="dxa" w:w="3115"/>
          </w:tcPr>
          <w:p>
            <w:pPr>
              <w:pStyle w:val="null5"/>
              <w:jc w:val="left"/>
            </w:pPr>
            <w:r>
              <w:rPr>
                <w:rFonts w:ascii="仿宋_GB2312" w:hAnsi="仿宋_GB2312" w:cs="仿宋_GB2312" w:eastAsia="仿宋_GB2312"/>
              </w:rPr>
              <w:t>质量控制措施得当切实可行的得5分；基本合理得2分；未提供得0分。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安全生产控制措</w:t>
            </w:r>
          </w:p>
        </w:tc>
        <w:tc>
          <w:tcPr>
            <w:tcW w:type="dxa" w:w="3115"/>
          </w:tcPr>
          <w:p>
            <w:pPr>
              <w:pStyle w:val="null5"/>
              <w:jc w:val="left"/>
            </w:pPr>
            <w:r>
              <w:rPr>
                <w:rFonts w:ascii="仿宋_GB2312" w:hAnsi="仿宋_GB2312" w:cs="仿宋_GB2312" w:eastAsia="仿宋_GB2312"/>
              </w:rPr>
              <w:t>安全生产控制措施得当切实可行的得5分；基本合理得2分；未提供得0分。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文明施工保障措施</w:t>
            </w:r>
          </w:p>
        </w:tc>
        <w:tc>
          <w:tcPr>
            <w:tcW w:type="dxa" w:w="3115"/>
          </w:tcPr>
          <w:p>
            <w:pPr>
              <w:pStyle w:val="null5"/>
              <w:jc w:val="left"/>
            </w:pPr>
            <w:r>
              <w:rPr>
                <w:rFonts w:ascii="仿宋_GB2312" w:hAnsi="仿宋_GB2312" w:cs="仿宋_GB2312" w:eastAsia="仿宋_GB2312"/>
              </w:rPr>
              <w:t>防止环境污染、减少扰民、降低噪声等保护文明施工保障措施合理的得5分；基本合理得2分；未提供得0分。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冬雨季施工保障措施</w:t>
            </w:r>
          </w:p>
        </w:tc>
        <w:tc>
          <w:tcPr>
            <w:tcW w:type="dxa" w:w="3115"/>
          </w:tcPr>
          <w:p>
            <w:pPr>
              <w:pStyle w:val="null5"/>
              <w:jc w:val="left"/>
            </w:pPr>
            <w:r>
              <w:rPr>
                <w:rFonts w:ascii="仿宋_GB2312" w:hAnsi="仿宋_GB2312" w:cs="仿宋_GB2312" w:eastAsia="仿宋_GB2312"/>
              </w:rPr>
              <w:t>冬雨季施工措施合理可行的最高得5分；基本合理得2分；未提供得0分。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2021年1月1日至今具有承担过工程项目业绩，有一项得10分，最高得20分。提供合同扫描件。</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