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科尔沁右翼前旗控制性详细规划及中心城区地形图测绘项目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科尔沁右翼前旗自然资源局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北京中兴恒工程咨询有限公司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152221-BJZXH-GK-20250001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北京中兴恒工程咨询有限公司</w:t>
      </w:r>
      <w:r>
        <w:rPr>
          <w:rFonts w:ascii="仿宋_GB2312" w:hAnsi="仿宋_GB2312" w:cs="仿宋_GB2312" w:eastAsia="仿宋_GB2312"/>
        </w:rPr>
        <w:t xml:space="preserve"> 受 </w:t>
      </w:r>
      <w:r>
        <w:rPr>
          <w:rFonts w:ascii="仿宋_GB2312" w:hAnsi="仿宋_GB2312" w:cs="仿宋_GB2312" w:eastAsia="仿宋_GB2312"/>
        </w:rPr>
        <w:t>科尔沁右翼前旗自然资源局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科尔沁右翼前旗控制性详细规划及中心城区地形图测绘项目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科尔沁右翼前旗控制性详细规划及中心城区地形图测绘项目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152221-BJZXH-GK-20250001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科右前旗财购计划[2025]00004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科尔沁右翼前旗控制性详细规划及中心城区地形图测绘项目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5,100,000.00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1、资质要求：1)具备行政主管部门颁发的[城乡规划乙级]及以上资质及测绘甲级资质。 2)项目负责人具有注册城乡规划师资格且具备规划专业中级及以上职称（提供企业为员工缴纳的社保证明（近一年内至少一个月）及注册证书、职称证书）。</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北京中兴恒工程咨询有限公司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乌兰浩特市红山龙1期门市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陈国辉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15248233338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科尔沁右翼前旗自然资源局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科尔沁右翼前旗新址</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王智颖</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15334863976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代理服务费收费标准：参照内工建协【2022】34号文件执行收费标准。双方协商收取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科尔沁右翼前旗自然资源局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北京中兴恒工程咨询有限公司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投标人提供2021-2023年度经会计师事务所或审计机构出具的财务审计报告或银行出具的近一年内的银行资信证明，以上形式的证明资料提供任何一种即可。</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提供递交投标文件截止之日前一年内（至少一个月）的良好缴纳税收的相关凭据（以税务机关提供的纳税凭据或银行入账单为准）以及缴纳社会保险的凭证（以专用收据或社会保险缴 纳清单为准）（注：其他组织和自然人也需要提供缴纳税收的凭据金额 缴纳社保的凭据。依 法免税或不需要缴纳社会保障资金的投标人，应提供相应文件证明其依法免税或不需要缴纳社会保障资金）。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1)具备行政主管部门颁发的[城乡规划乙级]及以上资质及测绘甲级资质。 2)项目负责人具有注册城乡规划师资格且具备规划专业中级及以上职称（提供企业为员工缴纳的社保证明（近一年内至少一个月）及注册证书、职称证书）。</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控制性详细规划是城市规划实施管理的最直接法律依据，是国有土地使用权出让、开发和建设管理的法定前置条件，是开展国土空间开发保护活动、实施国土空间用途管制、核发规划许可、进行各项建设活动的法定依据，是城市规划管理的核心层次和最主要的依据，用于指导修建性详细规划的编制，确定建设地区的土地使用性质和强制控制指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自合同签订之日起365日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科尔沁右翼前旗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1、完成初步成果，达到付款条件起10日，支付合同总金额的30.00%</w:t>
            </w:r>
          </w:p>
          <w:p>
            <w:pPr>
              <w:pStyle w:val="null5"/>
              <w:jc w:val="left"/>
            </w:pPr>
            <w:r>
              <w:rPr>
                <w:rFonts w:ascii="仿宋_GB2312" w:hAnsi="仿宋_GB2312" w:cs="仿宋_GB2312" w:eastAsia="仿宋_GB2312"/>
              </w:rPr>
              <w:t>2、完成最终成果，达到付款条件起10日，支付合同总金额的40.00%</w:t>
            </w:r>
          </w:p>
          <w:p>
            <w:pPr>
              <w:pStyle w:val="null5"/>
              <w:jc w:val="left"/>
            </w:pPr>
            <w:r>
              <w:rPr>
                <w:rFonts w:ascii="仿宋_GB2312" w:hAnsi="仿宋_GB2312" w:cs="仿宋_GB2312" w:eastAsia="仿宋_GB2312"/>
              </w:rPr>
              <w:t>3、通过验收，达到付款条件起10日，支付合同总金额的30.00%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标的名称：科尔沁右翼前旗控制性详细规划及中心城区地形图测绘项目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color w:val="000000"/>
              </w:rPr>
              <w:t>一、技术规格</w:t>
            </w:r>
          </w:p>
          <w:p>
            <w:pPr>
              <w:pStyle w:val="null5"/>
              <w:jc w:val="left"/>
            </w:pPr>
            <w:r>
              <w:rPr>
                <w:rFonts w:ascii="仿宋_GB2312" w:hAnsi="仿宋_GB2312" w:cs="仿宋_GB2312" w:eastAsia="仿宋_GB2312"/>
                <w:sz w:val="21"/>
                <w:color w:val="000000"/>
              </w:rPr>
              <w:t>1. 国土空间详细规划技术内容</w:t>
            </w:r>
          </w:p>
          <w:p>
            <w:pPr>
              <w:pStyle w:val="null5"/>
              <w:ind w:firstLine="420"/>
              <w:jc w:val="left"/>
            </w:pPr>
            <w:r>
              <w:rPr>
                <w:rFonts w:ascii="仿宋_GB2312" w:hAnsi="仿宋_GB2312" w:cs="仿宋_GB2312" w:eastAsia="仿宋_GB2312"/>
                <w:sz w:val="21"/>
                <w:color w:val="000000"/>
              </w:rPr>
              <w:t>控制性详细规划是城市规划管理的依据，规定了城市建设用地的主要使用性质和各项控制指标。控规的技术规格通常包括：</w:t>
            </w:r>
          </w:p>
          <w:p>
            <w:pPr>
              <w:pStyle w:val="null5"/>
              <w:ind w:firstLine="420"/>
              <w:jc w:val="left"/>
            </w:pPr>
            <w:r>
              <w:rPr>
                <w:rFonts w:ascii="仿宋_GB2312" w:hAnsi="仿宋_GB2312" w:cs="仿宋_GB2312" w:eastAsia="仿宋_GB2312"/>
                <w:sz w:val="21"/>
                <w:color w:val="000000"/>
              </w:rPr>
              <w:t>规划范围：明确科右前旗中心城区规划范围与边界。</w:t>
            </w:r>
          </w:p>
          <w:p>
            <w:pPr>
              <w:pStyle w:val="null5"/>
              <w:ind w:firstLine="420"/>
              <w:jc w:val="left"/>
            </w:pPr>
            <w:r>
              <w:rPr>
                <w:rFonts w:ascii="仿宋_GB2312" w:hAnsi="仿宋_GB2312" w:cs="仿宋_GB2312" w:eastAsia="仿宋_GB2312"/>
                <w:sz w:val="21"/>
                <w:color w:val="000000"/>
              </w:rPr>
              <w:t>用地分类：根据《国土空间调查、规划、用途管制用地用海分类指南》及相关国土空间规划标准，将13个详细规划编制单元划分为不同的用地用海分类，国土空间详细规划划分至二级类和三级类。如一类城镇住宅用地、零售商业用地、一类工业用地等。</w:t>
            </w:r>
          </w:p>
          <w:p>
            <w:pPr>
              <w:pStyle w:val="null5"/>
              <w:jc w:val="left"/>
            </w:pPr>
            <w:r>
              <w:rPr>
                <w:rFonts w:ascii="仿宋_GB2312" w:hAnsi="仿宋_GB2312" w:cs="仿宋_GB2312" w:eastAsia="仿宋_GB2312"/>
                <w:sz w:val="21"/>
                <w:color w:val="000000"/>
              </w:rPr>
              <w:t>控制指标：包括容积率、建筑密度、绿地率、建筑高度等，用于指导具体的城市建设活动。</w:t>
            </w:r>
          </w:p>
          <w:p>
            <w:pPr>
              <w:pStyle w:val="null5"/>
              <w:jc w:val="left"/>
            </w:pPr>
            <w:r>
              <w:rPr>
                <w:rFonts w:ascii="仿宋_GB2312" w:hAnsi="仿宋_GB2312" w:cs="仿宋_GB2312" w:eastAsia="仿宋_GB2312"/>
                <w:sz w:val="21"/>
                <w:color w:val="000000"/>
              </w:rPr>
              <w:t>规划布局：根据城市空间结构和功能分区，确定各类用地的布局和相互关系。</w:t>
            </w:r>
          </w:p>
          <w:p>
            <w:pPr>
              <w:pStyle w:val="null5"/>
              <w:jc w:val="left"/>
            </w:pPr>
            <w:r>
              <w:rPr>
                <w:rFonts w:ascii="仿宋_GB2312" w:hAnsi="仿宋_GB2312" w:cs="仿宋_GB2312" w:eastAsia="仿宋_GB2312"/>
                <w:sz w:val="21"/>
                <w:color w:val="000000"/>
              </w:rPr>
              <w:t>2. 地形图测绘技术内容</w:t>
            </w:r>
          </w:p>
          <w:p>
            <w:pPr>
              <w:pStyle w:val="null5"/>
              <w:ind w:firstLine="420"/>
              <w:jc w:val="left"/>
            </w:pPr>
            <w:r>
              <w:rPr>
                <w:rFonts w:ascii="仿宋_GB2312" w:hAnsi="仿宋_GB2312" w:cs="仿宋_GB2312" w:eastAsia="仿宋_GB2312"/>
                <w:sz w:val="21"/>
                <w:color w:val="000000"/>
              </w:rPr>
              <w:t>地形图测绘是获取地表地形、地貌信息的重要手段，其技术规格通常包括：</w:t>
            </w:r>
          </w:p>
          <w:p>
            <w:pPr>
              <w:pStyle w:val="null5"/>
              <w:jc w:val="left"/>
            </w:pPr>
            <w:r>
              <w:rPr>
                <w:rFonts w:ascii="仿宋_GB2312" w:hAnsi="仿宋_GB2312" w:cs="仿宋_GB2312" w:eastAsia="仿宋_GB2312"/>
                <w:sz w:val="21"/>
                <w:color w:val="000000"/>
              </w:rPr>
              <w:t>比例尺：地形图的比例尺根据科右前旗中心城区规模和精度确定，选取比例尺为1:1000。</w:t>
            </w:r>
          </w:p>
          <w:p>
            <w:pPr>
              <w:pStyle w:val="null5"/>
              <w:jc w:val="left"/>
            </w:pPr>
            <w:r>
              <w:rPr>
                <w:rFonts w:ascii="仿宋_GB2312" w:hAnsi="仿宋_GB2312" w:cs="仿宋_GB2312" w:eastAsia="仿宋_GB2312"/>
                <w:sz w:val="21"/>
                <w:color w:val="000000"/>
              </w:rPr>
              <w:t>投影方式：地形图通常采用高斯-克吕格投影，以确保地图的准确性和可读性。</w:t>
            </w:r>
          </w:p>
          <w:p>
            <w:pPr>
              <w:pStyle w:val="null5"/>
              <w:jc w:val="left"/>
            </w:pPr>
            <w:r>
              <w:rPr>
                <w:rFonts w:ascii="仿宋_GB2312" w:hAnsi="仿宋_GB2312" w:cs="仿宋_GB2312" w:eastAsia="仿宋_GB2312"/>
                <w:sz w:val="21"/>
                <w:color w:val="000000"/>
              </w:rPr>
              <w:t>坐标系统：平面坐标系统采用国家2000坐标系，便于数据的共享和交换。</w:t>
            </w:r>
          </w:p>
          <w:p>
            <w:pPr>
              <w:pStyle w:val="null5"/>
              <w:jc w:val="left"/>
            </w:pPr>
            <w:r>
              <w:rPr>
                <w:rFonts w:ascii="仿宋_GB2312" w:hAnsi="仿宋_GB2312" w:cs="仿宋_GB2312" w:eastAsia="仿宋_GB2312"/>
                <w:sz w:val="21"/>
                <w:color w:val="000000"/>
              </w:rPr>
              <w:t>高程系统：高程采用1985国家高程基准，以表示地表的高程信息。</w:t>
            </w:r>
          </w:p>
          <w:p>
            <w:pPr>
              <w:pStyle w:val="null5"/>
              <w:jc w:val="left"/>
            </w:pPr>
            <w:r>
              <w:rPr>
                <w:rFonts w:ascii="仿宋_GB2312" w:hAnsi="仿宋_GB2312" w:cs="仿宋_GB2312" w:eastAsia="仿宋_GB2312"/>
                <w:sz w:val="21"/>
                <w:color w:val="000000"/>
              </w:rPr>
              <w:t>精度要求：地形图的精度应根据中心城区详细规划的详细程度确定平面精度和高程精度。</w:t>
            </w:r>
          </w:p>
          <w:p>
            <w:pPr>
              <w:pStyle w:val="null5"/>
              <w:jc w:val="left"/>
            </w:pPr>
            <w:r>
              <w:rPr>
                <w:rFonts w:ascii="仿宋_GB2312" w:hAnsi="仿宋_GB2312" w:cs="仿宋_GB2312" w:eastAsia="仿宋_GB2312"/>
                <w:sz w:val="21"/>
                <w:b/>
                <w:color w:val="000000"/>
              </w:rPr>
              <w:t>二、服务要求</w:t>
            </w:r>
          </w:p>
          <w:p>
            <w:pPr>
              <w:pStyle w:val="null5"/>
              <w:jc w:val="left"/>
            </w:pPr>
            <w:r>
              <w:rPr>
                <w:rFonts w:ascii="仿宋_GB2312" w:hAnsi="仿宋_GB2312" w:cs="仿宋_GB2312" w:eastAsia="仿宋_GB2312"/>
                <w:sz w:val="21"/>
                <w:color w:val="000000"/>
              </w:rPr>
              <w:t>1. 控规服务要求</w:t>
            </w:r>
          </w:p>
          <w:p>
            <w:pPr>
              <w:pStyle w:val="null5"/>
              <w:ind w:firstLine="420"/>
              <w:jc w:val="left"/>
            </w:pPr>
            <w:r>
              <w:rPr>
                <w:rFonts w:ascii="仿宋_GB2312" w:hAnsi="仿宋_GB2312" w:cs="仿宋_GB2312" w:eastAsia="仿宋_GB2312"/>
                <w:sz w:val="21"/>
                <w:color w:val="000000"/>
              </w:rPr>
              <w:t>规划编制：按照相关标准和规范，编制完整的规划成果。本规划编制成果包括规划文本、规划图件、规划说明、规划数据库、规划表格、附件材料，共六部分。</w:t>
            </w:r>
          </w:p>
          <w:p>
            <w:pPr>
              <w:pStyle w:val="null5"/>
              <w:ind w:firstLine="420"/>
              <w:jc w:val="left"/>
            </w:pPr>
            <w:r>
              <w:rPr>
                <w:rFonts w:ascii="仿宋_GB2312" w:hAnsi="仿宋_GB2312" w:cs="仿宋_GB2312" w:eastAsia="仿宋_GB2312"/>
                <w:sz w:val="21"/>
                <w:color w:val="000000"/>
              </w:rPr>
              <w:t>公众参与：在规划编制过程中，应充分征求公众意见，确保规划的合理性和可行性。</w:t>
            </w:r>
          </w:p>
          <w:p>
            <w:pPr>
              <w:pStyle w:val="null5"/>
              <w:ind w:firstLine="420"/>
              <w:jc w:val="left"/>
            </w:pPr>
            <w:r>
              <w:rPr>
                <w:rFonts w:ascii="仿宋_GB2312" w:hAnsi="仿宋_GB2312" w:cs="仿宋_GB2312" w:eastAsia="仿宋_GB2312"/>
                <w:sz w:val="21"/>
                <w:color w:val="000000"/>
              </w:rPr>
              <w:t>规划审批：按照法定程序，将控规成果报送相关部门进行审批。</w:t>
            </w:r>
          </w:p>
          <w:p>
            <w:pPr>
              <w:pStyle w:val="null5"/>
              <w:jc w:val="left"/>
            </w:pPr>
            <w:r>
              <w:rPr>
                <w:rFonts w:ascii="仿宋_GB2312" w:hAnsi="仿宋_GB2312" w:cs="仿宋_GB2312" w:eastAsia="仿宋_GB2312"/>
                <w:sz w:val="21"/>
                <w:color w:val="000000"/>
              </w:rPr>
              <w:t>2. 地形图测绘服务要求</w:t>
            </w:r>
          </w:p>
          <w:p>
            <w:pPr>
              <w:pStyle w:val="null5"/>
              <w:ind w:firstLine="420"/>
              <w:jc w:val="left"/>
            </w:pPr>
            <w:r>
              <w:rPr>
                <w:rFonts w:ascii="仿宋_GB2312" w:hAnsi="仿宋_GB2312" w:cs="仿宋_GB2312" w:eastAsia="仿宋_GB2312"/>
                <w:sz w:val="21"/>
                <w:color w:val="000000"/>
              </w:rPr>
              <w:t>资料收集：收集规划区域的地理、地质、气象等相关资料，为地形图测绘提供依据。</w:t>
            </w:r>
          </w:p>
          <w:p>
            <w:pPr>
              <w:pStyle w:val="null5"/>
              <w:ind w:firstLine="420"/>
              <w:jc w:val="left"/>
            </w:pPr>
            <w:r>
              <w:rPr>
                <w:rFonts w:ascii="仿宋_GB2312" w:hAnsi="仿宋_GB2312" w:cs="仿宋_GB2312" w:eastAsia="仿宋_GB2312"/>
                <w:sz w:val="21"/>
                <w:color w:val="000000"/>
              </w:rPr>
              <w:t>现场踏勘：对规划区域进行现场踏勘，了解地形、地貌特征，确定测绘方案。</w:t>
            </w:r>
          </w:p>
          <w:p>
            <w:pPr>
              <w:pStyle w:val="null5"/>
              <w:ind w:firstLine="420"/>
              <w:jc w:val="left"/>
            </w:pPr>
            <w:r>
              <w:rPr>
                <w:rFonts w:ascii="仿宋_GB2312" w:hAnsi="仿宋_GB2312" w:cs="仿宋_GB2312" w:eastAsia="仿宋_GB2312"/>
                <w:sz w:val="21"/>
                <w:color w:val="000000"/>
              </w:rPr>
              <w:t>测绘实施：按照测绘方案，使用专业的测绘仪器和设备，进行地形图的测绘工作。</w:t>
            </w:r>
          </w:p>
          <w:p>
            <w:pPr>
              <w:pStyle w:val="null5"/>
              <w:ind w:firstLine="420"/>
              <w:jc w:val="left"/>
            </w:pPr>
            <w:r>
              <w:rPr>
                <w:rFonts w:ascii="仿宋_GB2312" w:hAnsi="仿宋_GB2312" w:cs="仿宋_GB2312" w:eastAsia="仿宋_GB2312"/>
                <w:sz w:val="21"/>
                <w:color w:val="000000"/>
              </w:rPr>
              <w:t>成果整理：将测绘成果进行整理、编辑和校核，确保成果的准确性和完整性。</w:t>
            </w:r>
          </w:p>
          <w:p>
            <w:pPr>
              <w:pStyle w:val="null5"/>
              <w:jc w:val="left"/>
            </w:pPr>
            <w:r>
              <w:rPr>
                <w:rFonts w:ascii="仿宋_GB2312" w:hAnsi="仿宋_GB2312" w:cs="仿宋_GB2312" w:eastAsia="仿宋_GB2312"/>
                <w:sz w:val="21"/>
                <w:b/>
                <w:color w:val="000000"/>
              </w:rPr>
              <w:t>三、验收要求</w:t>
            </w:r>
          </w:p>
          <w:p>
            <w:pPr>
              <w:pStyle w:val="null5"/>
              <w:jc w:val="left"/>
            </w:pPr>
            <w:r>
              <w:rPr>
                <w:rFonts w:ascii="仿宋_GB2312" w:hAnsi="仿宋_GB2312" w:cs="仿宋_GB2312" w:eastAsia="仿宋_GB2312"/>
                <w:sz w:val="21"/>
                <w:color w:val="000000"/>
              </w:rPr>
              <w:t>1. 控规验收要求</w:t>
            </w:r>
          </w:p>
          <w:p>
            <w:pPr>
              <w:pStyle w:val="null5"/>
              <w:ind w:firstLine="420"/>
              <w:jc w:val="left"/>
            </w:pPr>
            <w:r>
              <w:rPr>
                <w:rFonts w:ascii="仿宋_GB2312" w:hAnsi="仿宋_GB2312" w:cs="仿宋_GB2312" w:eastAsia="仿宋_GB2312"/>
                <w:sz w:val="21"/>
                <w:color w:val="000000"/>
              </w:rPr>
              <w:t>规划符合性：科右前旗国土空间详细规划编制完成并通过评审编制内容和成果质量须符合国家及行业相关标准。</w:t>
            </w:r>
          </w:p>
          <w:p>
            <w:pPr>
              <w:pStyle w:val="null5"/>
              <w:ind w:firstLine="420"/>
              <w:jc w:val="left"/>
            </w:pPr>
            <w:r>
              <w:rPr>
                <w:rFonts w:ascii="仿宋_GB2312" w:hAnsi="仿宋_GB2312" w:cs="仿宋_GB2312" w:eastAsia="仿宋_GB2312"/>
                <w:sz w:val="21"/>
                <w:color w:val="000000"/>
              </w:rPr>
              <w:t>公众意见采纳：科右前旗国土空间详细规划充分采纳了公众意见，并进行了相应的调整和优化。</w:t>
            </w:r>
          </w:p>
          <w:p>
            <w:pPr>
              <w:pStyle w:val="null5"/>
              <w:ind w:firstLine="420"/>
              <w:jc w:val="left"/>
            </w:pPr>
            <w:r>
              <w:rPr>
                <w:rFonts w:ascii="仿宋_GB2312" w:hAnsi="仿宋_GB2312" w:cs="仿宋_GB2312" w:eastAsia="仿宋_GB2312"/>
                <w:sz w:val="21"/>
                <w:color w:val="000000"/>
              </w:rPr>
              <w:t>规划实施性：科右前旗国土空间详细规划成果实施性评估，包括规划的可操作性和可实施性。</w:t>
            </w:r>
          </w:p>
          <w:p>
            <w:pPr>
              <w:pStyle w:val="null5"/>
              <w:jc w:val="left"/>
            </w:pPr>
            <w:r>
              <w:rPr>
                <w:rFonts w:ascii="仿宋_GB2312" w:hAnsi="仿宋_GB2312" w:cs="仿宋_GB2312" w:eastAsia="仿宋_GB2312"/>
                <w:sz w:val="21"/>
                <w:color w:val="000000"/>
              </w:rPr>
              <w:t>2. 地形图测绘验收要求</w:t>
            </w:r>
          </w:p>
          <w:p>
            <w:pPr>
              <w:pStyle w:val="null5"/>
              <w:ind w:firstLine="420"/>
              <w:jc w:val="left"/>
            </w:pPr>
            <w:r>
              <w:rPr>
                <w:rFonts w:ascii="仿宋_GB2312" w:hAnsi="仿宋_GB2312" w:cs="仿宋_GB2312" w:eastAsia="仿宋_GB2312"/>
                <w:sz w:val="21"/>
                <w:color w:val="000000"/>
              </w:rPr>
              <w:t>完整性检查：检查地形图是否完整，是否包含所有规定要素，如地形、地貌、水系、道路等。</w:t>
            </w:r>
          </w:p>
          <w:p>
            <w:pPr>
              <w:pStyle w:val="null5"/>
              <w:ind w:firstLine="420"/>
              <w:jc w:val="left"/>
            </w:pPr>
            <w:r>
              <w:rPr>
                <w:rFonts w:ascii="仿宋_GB2312" w:hAnsi="仿宋_GB2312" w:cs="仿宋_GB2312" w:eastAsia="仿宋_GB2312"/>
                <w:sz w:val="21"/>
                <w:color w:val="000000"/>
              </w:rPr>
              <w:t>准确性检查：检查地形图的精度是否符合相关标准和规范，包括平面精度和高程精度。</w:t>
            </w:r>
          </w:p>
          <w:p>
            <w:pPr>
              <w:pStyle w:val="null5"/>
              <w:ind w:firstLine="420"/>
              <w:jc w:val="left"/>
            </w:pPr>
            <w:r>
              <w:rPr>
                <w:rFonts w:ascii="仿宋_GB2312" w:hAnsi="仿宋_GB2312" w:cs="仿宋_GB2312" w:eastAsia="仿宋_GB2312"/>
                <w:sz w:val="21"/>
                <w:color w:val="000000"/>
              </w:rPr>
              <w:t>一致性检查：检查地形图是否与现有的测绘成果相一致，避免重复测绘和错误测绘。</w:t>
            </w:r>
          </w:p>
          <w:p>
            <w:pPr>
              <w:pStyle w:val="null5"/>
              <w:ind w:firstLine="420"/>
              <w:jc w:val="left"/>
            </w:pPr>
            <w:r>
              <w:rPr>
                <w:rFonts w:ascii="仿宋_GB2312" w:hAnsi="仿宋_GB2312" w:cs="仿宋_GB2312" w:eastAsia="仿宋_GB2312"/>
                <w:sz w:val="21"/>
                <w:color w:val="000000"/>
              </w:rPr>
              <w:t>实用性检查：评估地形图的实用性，包括地图的可读性、易用性和适用性。</w:t>
            </w:r>
          </w:p>
          <w:p>
            <w:pPr>
              <w:pStyle w:val="null5"/>
              <w:ind w:firstLine="420"/>
              <w:jc w:val="left"/>
            </w:pPr>
            <w:r>
              <w:rPr>
                <w:rFonts w:ascii="仿宋_GB2312" w:hAnsi="仿宋_GB2312" w:cs="仿宋_GB2312" w:eastAsia="仿宋_GB2312"/>
                <w:sz w:val="21"/>
                <w:color w:val="000000"/>
              </w:rPr>
              <w:t>为确保测绘成果的准确性和可靠性，还需要根据规划区域的具体情况和需求，进行相应的调整和优化。</w:t>
            </w:r>
          </w:p>
          <w:p>
            <w:pPr>
              <w:pStyle w:val="null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对项目情况了解</w:t>
            </w:r>
          </w:p>
        </w:tc>
        <w:tc>
          <w:tcPr>
            <w:tcW w:type="dxa" w:w="3115"/>
          </w:tcPr>
          <w:p>
            <w:pPr>
              <w:pStyle w:val="null5"/>
              <w:jc w:val="left"/>
            </w:pPr>
            <w:r>
              <w:rPr>
                <w:rFonts w:ascii="仿宋_GB2312" w:hAnsi="仿宋_GB2312" w:cs="仿宋_GB2312" w:eastAsia="仿宋_GB2312"/>
              </w:rPr>
              <w:t>根据投标人提供的对项目情况的理解情况，准确理解本项目的特点，项目方案全面、准确、科学合理的； 1.完全理解采购人服务需求，对采购人的需求非常了解，能够有针对性的分析本项目的业务服务需求的，20分； 2.对采购人服务需求理解不全面，对采购人的需求不熟悉，15分； 3.只理解采购人服务需求的部分内容或简单罗列招标要求，不熟悉采购人的需求得10分； 4.内容简单，不了解相关政策得5分； 5.未提供的得0分。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编制总体思路</w:t>
            </w:r>
          </w:p>
        </w:tc>
        <w:tc>
          <w:tcPr>
            <w:tcW w:type="dxa" w:w="3115"/>
          </w:tcPr>
          <w:p>
            <w:pPr>
              <w:pStyle w:val="null5"/>
              <w:jc w:val="left"/>
            </w:pPr>
            <w:r>
              <w:rPr>
                <w:rFonts w:ascii="仿宋_GB2312" w:hAnsi="仿宋_GB2312" w:cs="仿宋_GB2312" w:eastAsia="仿宋_GB2312"/>
              </w:rPr>
              <w:t>规划思路、方法、内容、深度等方面进行评审： 规划思路清晰合理，系统性强具有一定的前瞻性、内容完善且对工作目标的理解准确深刻能完全符 合采购需求的得10分； 规划思路相对清晰合理的得 6 分； 有思路、内容简单得 3分；未提供的得0分。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政策要求熟悉程度</w:t>
            </w:r>
          </w:p>
        </w:tc>
        <w:tc>
          <w:tcPr>
            <w:tcW w:type="dxa" w:w="3115"/>
          </w:tcPr>
          <w:p>
            <w:pPr>
              <w:pStyle w:val="null5"/>
              <w:jc w:val="left"/>
            </w:pPr>
            <w:r>
              <w:rPr>
                <w:rFonts w:ascii="仿宋_GB2312" w:hAnsi="仿宋_GB2312" w:cs="仿宋_GB2312" w:eastAsia="仿宋_GB2312"/>
              </w:rPr>
              <w:t>根据投标人对控制性详细规划编制的政策要求熟悉情况进行打分，完全熟悉政策要求得8分； 基本熟悉得5分；不熟悉或不了解相关政策得3分；未提供的得0分。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本项目的重点难点</w:t>
            </w:r>
          </w:p>
        </w:tc>
        <w:tc>
          <w:tcPr>
            <w:tcW w:type="dxa" w:w="3115"/>
          </w:tcPr>
          <w:p>
            <w:pPr>
              <w:pStyle w:val="null5"/>
              <w:jc w:val="left"/>
            </w:pPr>
            <w:r>
              <w:rPr>
                <w:rFonts w:ascii="仿宋_GB2312" w:hAnsi="仿宋_GB2312" w:cs="仿宋_GB2312" w:eastAsia="仿宋_GB2312"/>
              </w:rPr>
              <w:t>根据投标人对本项目重点、难点分析进行评审： 1.针对本项目的重点、难 点分析透彻、内容全面，措施完善、先进针对性强且能有效实施的，得10分； 2.针对本项目的重点、难点分析内容具体，措施合理有针对性且可 行的，得5分； 3.针对本项目的重点、难点分析简单、内容不全面，措 施不够详细的，得3分； 4.未提供的得0分。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进度计划与安排</w:t>
            </w:r>
          </w:p>
        </w:tc>
        <w:tc>
          <w:tcPr>
            <w:tcW w:type="dxa" w:w="3115"/>
          </w:tcPr>
          <w:p>
            <w:pPr>
              <w:pStyle w:val="null5"/>
              <w:jc w:val="left"/>
            </w:pPr>
            <w:r>
              <w:rPr>
                <w:rFonts w:ascii="仿宋_GB2312" w:hAnsi="仿宋_GB2312" w:cs="仿宋_GB2312" w:eastAsia="仿宋_GB2312"/>
              </w:rPr>
              <w:t>根据进度计划的合理性、可行性，各环节衔接的有序性，保障进度实施具 体措施的科学性、合理性进行综合打分：进度安排合理得10分；进度安排满足项目基本要求得6分，进度安排不及时得3分；未提供的得0分。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人员配备及管理</w:t>
            </w:r>
          </w:p>
        </w:tc>
        <w:tc>
          <w:tcPr>
            <w:tcW w:type="dxa" w:w="3115"/>
          </w:tcPr>
          <w:p>
            <w:pPr>
              <w:pStyle w:val="null5"/>
              <w:jc w:val="left"/>
            </w:pPr>
            <w:r>
              <w:rPr>
                <w:rFonts w:ascii="仿宋_GB2312" w:hAnsi="仿宋_GB2312" w:cs="仿宋_GB2312" w:eastAsia="仿宋_GB2312"/>
              </w:rPr>
              <w:t>投标文件中需提供人员配备计划，包含但不限于以下3项内容： （1）人员配备计划满足需求，配备人员合理； （2）针对本服务要求配置人员分工明确； （3）针对本服务要求人员配置及管理：人员管理制度、考核制度完善。 1.内容完全满足以上要求并且详细、切实可行的得6分； 2.内容未完全满足以上要求并且不够详细的得3分； 3.未提供的得0分。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后续服务措施</w:t>
            </w:r>
          </w:p>
        </w:tc>
        <w:tc>
          <w:tcPr>
            <w:tcW w:type="dxa" w:w="3115"/>
          </w:tcPr>
          <w:p>
            <w:pPr>
              <w:pStyle w:val="null5"/>
              <w:jc w:val="left"/>
            </w:pPr>
            <w:r>
              <w:rPr>
                <w:rFonts w:ascii="仿宋_GB2312" w:hAnsi="仿宋_GB2312" w:cs="仿宋_GB2312" w:eastAsia="仿宋_GB2312"/>
              </w:rPr>
              <w:t>根据投标单位提供的后续针对本项目所制定的配合服务方案进行综合评审 , 合理、完善、详尽。 1.方案完善、针对性强，合理详尽、可行性好，能够充分满足项目需求的得6分； 2.方案基本完善、有一定的针对性、 有一定的可行性，能够满足项目需求的加3分； 3.方案不完善、各项方案不详尽的得1分； 4.未提供的得0分。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根据投标单位近三年（2022年1月1日至今）同类项目的业绩做出评价（类似业绩是指控制性规划或国土空间规划或村庄规划），以服务合同为准，提供一项得2分，满分14分。</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拟派项目团队成员</w:t>
            </w:r>
          </w:p>
        </w:tc>
        <w:tc>
          <w:tcPr>
            <w:tcW w:type="dxa" w:w="3115"/>
          </w:tcPr>
          <w:p>
            <w:pPr>
              <w:pStyle w:val="null5"/>
              <w:jc w:val="left"/>
            </w:pPr>
            <w:r>
              <w:rPr>
                <w:rFonts w:ascii="仿宋_GB2312" w:hAnsi="仿宋_GB2312" w:cs="仿宋_GB2312" w:eastAsia="仿宋_GB2312"/>
              </w:rPr>
              <w:t>1.拟投入的技术负责人，注册城乡规划师资格且具备规划专业中级及以上职称（提供企业为员工缴纳的社保证明（近一年内至少一个月）及注册证书、职称证书）的得2分；本项最多得2分。 2.拟投入的其他技术人员，具有与规划或测绘高级技术职称每提供一名的得1分；本项最多得4分。（提供职称证书原件扫描件及社保缴纳凭证，同一人员获得多个专业的职称证书的不重复计分。)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