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科尔沁右翼前旗苏木乡镇国土空间规划编制项目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科尔沁右翼前旗自然资源局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内蒙古誉泽工程项目管理有限公司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152221-YZZB--GK-20250001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内蒙古誉泽工程项目管理有限公司</w:t>
      </w:r>
      <w:r>
        <w:rPr>
          <w:rFonts w:ascii="仿宋_GB2312" w:hAnsi="仿宋_GB2312" w:cs="仿宋_GB2312" w:eastAsia="仿宋_GB2312"/>
        </w:rPr>
        <w:t xml:space="preserve"> 受 </w:t>
      </w:r>
      <w:r>
        <w:rPr>
          <w:rFonts w:ascii="仿宋_GB2312" w:hAnsi="仿宋_GB2312" w:cs="仿宋_GB2312" w:eastAsia="仿宋_GB2312"/>
        </w:rPr>
        <w:t>科尔沁右翼前旗自然资源局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科尔沁右翼前旗苏木乡镇国土空间规划编制项目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科尔沁右翼前旗苏木乡镇国土空间规划编制项目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152221-YZZB--GK-20250001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科右前旗财购计划[2025]00153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10个乡镇规划：归流河镇、德佰斯镇、居力很镇、桃合木苏木、索伦镇、巴日嘎斯台乡、满族屯满族乡、额尔格图镇、俄体镇、乌兰毛都苏木。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420,000.00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2个乡镇规划：大石寨镇、阿力得尔苏木。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察尔森镇。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1、特定资格要求：要求具有城乡规划编制乙级及以上资质或土地规划机构乙级及以上资质</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1、特定资格要求：要求具有城乡规划编制乙级及以上资质或土地规划机构乙级及以上资质</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1、特定资格要求：要求具有城乡规划编制乙级及以上资质或土地规划机构乙级及以上资质</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内蒙古誉泽工程项目管理有限公司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内蒙古自治区呼和浩特市回民区攸攸板镇四合兴村钢铁路阿吉勒小区2号楼一层1单元3号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17897239525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科尔沁右翼前旗自然资源局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科尔沁右翼前旗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137700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申丛军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0482-8399428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代理服务费收费标准：参照内工建协【2022】34号，双方协商约定。</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科尔沁右翼前旗自然资源局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内蒙古誉泽工程项目管理有限公司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审查投标人提供的具有良好的商业信誉和健全的财务会计制度的相关材料。可提供“具有良好的商业信誉和健全的财务会计制度”的承诺并加盖公章。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审查投标人提供的依法缴纳税收和社会保障资金的相关材料。可根据自身情况作出“依法缴纳税收和社会保障资金”的承诺并加盖公章。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审查投标人提供的具有履行合同所必需的设备和专业技术能力的证明材料。可提供“具有履行合同所必需的设备和专业技术能力”的承诺并加盖公章。</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不接受联合体投标。</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审查投标人提供的具有良好的商业信誉和健全的财务会计制度的相关材料。可提供“具有良好的商业信誉和健全的财务会计制度”的承诺并加盖公章。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审查投标人提供的依法缴纳税收和社会保障资金的相关材料。可根据自身情况作出“依法缴纳税收和社会保障资金”的承诺并加盖公章。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审查投标人提供的具有履行合同所必需的设备和专业技术能力的证明材料。可提供“具有履行合同所必需的设备和专业技术能力”的承诺并加盖公章。</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不接受联合体投标。</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审查投标人提供的具有良好的商业信誉和健全的财务会计制度的相关材料。可提供“具有良好的商业信誉和健全的财务会计制度”的承诺并加盖公章。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审查投标人提供的依法缴纳税收和社会保障资金的相关材料。可根据自身情况作出“依法缴纳税收和社会保障资金”的承诺并加盖公章。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审查投标人提供的具有履行合同所必需的设备和专业技术能力的证明材料。可提供“具有履行合同所必需的设备和专业技术能力”的承诺并加盖公章。</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要求具有城乡规划编制乙级及以上资质或土地规划机构乙级及以上资质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要求具有城乡规划编制乙级及以上资质或土地规划机构乙级及以上资质</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要求具有城乡规划编制乙级及以上资质或土地规划机构乙级及以上资质</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立足科右前旗实际，深化落实旗级国土空间总体规划对乡镇的社会经济发展目标、国土开发保护目标和约束指标要求， 结合当地自然资源禀赋和经济社会发展阶段，针对国土空间资源保护、开发利用、整治修复中存在的问题及未来发展趋势 深入研究，提出国土空间保护、开发、利用、修复的综合部署和具体安排。</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自合同签订之日起365日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科尔沁右翼前旗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1、完成初步成果，达到付款条件起10日，支付合同总金额的30.00%</w:t>
            </w:r>
          </w:p>
          <w:p>
            <w:pPr>
              <w:pStyle w:val="null5"/>
              <w:jc w:val="left"/>
            </w:pPr>
            <w:r>
              <w:rPr>
                <w:rFonts w:ascii="仿宋_GB2312" w:hAnsi="仿宋_GB2312" w:cs="仿宋_GB2312" w:eastAsia="仿宋_GB2312"/>
              </w:rPr>
              <w:t>2、完成最终成果，达到付款条件起10日，支付合同总金额的40.00%</w:t>
            </w:r>
          </w:p>
          <w:p>
            <w:pPr>
              <w:pStyle w:val="null5"/>
              <w:jc w:val="left"/>
            </w:pPr>
            <w:r>
              <w:rPr>
                <w:rFonts w:ascii="仿宋_GB2312" w:hAnsi="仿宋_GB2312" w:cs="仿宋_GB2312" w:eastAsia="仿宋_GB2312"/>
              </w:rPr>
              <w:t>3、通过验收，达到付款条件起10日，支付合同总金额的30.00%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售后服务要求：验收合格之日起6个月。</w:t>
              <w:br/>
              <w:t>其他要求：符合内蒙古自治区自然资源厅《旗县（市、区）国土空间总体规划编制规程》、《苏木乡镇国土空间规划编制规程》相关规定。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自合同签订之日起60日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科尔沁右翼前旗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1、完成初步成果，达到付款条件起10日，支付合同总金额的30.00%</w:t>
            </w:r>
          </w:p>
          <w:p>
            <w:pPr>
              <w:pStyle w:val="null5"/>
              <w:jc w:val="left"/>
            </w:pPr>
            <w:r>
              <w:rPr>
                <w:rFonts w:ascii="仿宋_GB2312" w:hAnsi="仿宋_GB2312" w:cs="仿宋_GB2312" w:eastAsia="仿宋_GB2312"/>
              </w:rPr>
              <w:t>2、完成最终成果，达到付款条件起10日，支付合同总金额的40.00%</w:t>
            </w:r>
          </w:p>
          <w:p>
            <w:pPr>
              <w:pStyle w:val="null5"/>
              <w:jc w:val="left"/>
            </w:pPr>
            <w:r>
              <w:rPr>
                <w:rFonts w:ascii="仿宋_GB2312" w:hAnsi="仿宋_GB2312" w:cs="仿宋_GB2312" w:eastAsia="仿宋_GB2312"/>
              </w:rPr>
              <w:t>3、通过验收，达到付款条件起10日，支付合同总金额的30.00%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售后服务要求：验收合格之日起6个月。 其他要求：符合内蒙古自治区自然资源厅《旗县（市、区）国土空间总体规划编制规程》、《苏木乡镇国土空间规划编制规程》相关规定。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自合同签订之日起60日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科尔沁右翼前旗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1、完成初步成果，达到付款条件起10日，支付合同总金额的30.00%</w:t>
            </w:r>
          </w:p>
          <w:p>
            <w:pPr>
              <w:pStyle w:val="null5"/>
              <w:jc w:val="left"/>
            </w:pPr>
            <w:r>
              <w:rPr>
                <w:rFonts w:ascii="仿宋_GB2312" w:hAnsi="仿宋_GB2312" w:cs="仿宋_GB2312" w:eastAsia="仿宋_GB2312"/>
              </w:rPr>
              <w:t>2、完成最终成果，达到付款条件起10日，支付合同总金额的40.00%</w:t>
            </w:r>
          </w:p>
          <w:p>
            <w:pPr>
              <w:pStyle w:val="null5"/>
              <w:jc w:val="left"/>
            </w:pPr>
            <w:r>
              <w:rPr>
                <w:rFonts w:ascii="仿宋_GB2312" w:hAnsi="仿宋_GB2312" w:cs="仿宋_GB2312" w:eastAsia="仿宋_GB2312"/>
              </w:rPr>
              <w:t>3、通过验收，达到付款条件起10日，支付合同总金额的30.00%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售后服务要求：验收合格之日起6个月。 其他要求：符合内蒙古自治区自然资源厅《旗县（市、区）国土空间总体规划编制规程》、《苏木乡镇国土空间规划编制规程》相关规定。</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标的名称：10个乡镇规划：归流河镇、德佰斯镇、居力很镇、桃合木苏木、索伦镇、巴日嘎斯台乡、满族屯满族乡、额尔格图镇、俄体镇、乌兰毛都苏木。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技术要求：规划成果包括规划文本、规划图件、数据库和附件等。</w:t>
            </w:r>
            <w:r>
              <w:br/>
            </w:r>
            <w:r>
              <w:rPr>
                <w:rFonts w:ascii="仿宋_GB2312" w:hAnsi="仿宋_GB2312" w:cs="仿宋_GB2312" w:eastAsia="仿宋_GB2312"/>
              </w:rPr>
              <w:t xml:space="preserve"> （1）规划文本</w:t>
            </w:r>
            <w:r>
              <w:br/>
            </w:r>
            <w:r>
              <w:rPr>
                <w:rFonts w:ascii="仿宋_GB2312" w:hAnsi="仿宋_GB2312" w:cs="仿宋_GB2312" w:eastAsia="仿宋_GB2312"/>
              </w:rPr>
              <w:t xml:space="preserve"> 规划文本应在落实本导则（内自然资字〔2022〕476 号）规划内容的前提下，以简明格式表达规划结论，包括文本条文和必要的表格，表述准确规范。</w:t>
            </w:r>
            <w:r>
              <w:br/>
            </w:r>
            <w:r>
              <w:rPr>
                <w:rFonts w:ascii="仿宋_GB2312" w:hAnsi="仿宋_GB2312" w:cs="仿宋_GB2312" w:eastAsia="仿宋_GB2312"/>
              </w:rPr>
              <w:t xml:space="preserve"> （2）规划图件</w:t>
            </w:r>
            <w:r>
              <w:br/>
            </w:r>
            <w:r>
              <w:rPr>
                <w:rFonts w:ascii="仿宋_GB2312" w:hAnsi="仿宋_GB2312" w:cs="仿宋_GB2312" w:eastAsia="仿宋_GB2312"/>
              </w:rPr>
              <w:t xml:space="preserve"> 各地方结合实际增补图件，图件应符合相关制图规范要求，明确标示图名、图号、比例尺、图例、绘制时间、编制单位名称等。苏木乡镇域范围的图件比例尺原则上为1:10000，镇区（乡集镇）规划图件比例尺一般为1:2000，可根据行政辖区面积的实际情况，适当调整图件比例尺。</w:t>
            </w:r>
            <w:r>
              <w:br/>
            </w:r>
            <w:r>
              <w:rPr>
                <w:rFonts w:ascii="仿宋_GB2312" w:hAnsi="仿宋_GB2312" w:cs="仿宋_GB2312" w:eastAsia="仿宋_GB2312"/>
              </w:rPr>
              <w:t xml:space="preserve"> （3）规划数据库</w:t>
            </w:r>
            <w:r>
              <w:br/>
            </w:r>
            <w:r>
              <w:rPr>
                <w:rFonts w:ascii="仿宋_GB2312" w:hAnsi="仿宋_GB2312" w:cs="仿宋_GB2312" w:eastAsia="仿宋_GB2312"/>
              </w:rPr>
              <w:t xml:space="preserve"> 规划数据库包括现状数据和规划数据，按照统一的数据库标准与规划编制工作同步建设、同步报批，并及时将国土空间规划成果数据纳入国土空间规划“一张图”实施监督信息系统。数据库建设标准及入库方式按照自然资源部、自治区自然资源厅出台的相关文件、标准执行。</w:t>
            </w:r>
            <w:r>
              <w:br/>
            </w:r>
            <w:r>
              <w:rPr>
                <w:rFonts w:ascii="仿宋_GB2312" w:hAnsi="仿宋_GB2312" w:cs="仿宋_GB2312" w:eastAsia="仿宋_GB2312"/>
              </w:rPr>
              <w:t xml:space="preserve"> （4）规划附件</w:t>
            </w:r>
            <w:r>
              <w:br/>
            </w:r>
            <w:r>
              <w:rPr>
                <w:rFonts w:ascii="仿宋_GB2312" w:hAnsi="仿宋_GB2312" w:cs="仿宋_GB2312" w:eastAsia="仿宋_GB2312"/>
              </w:rPr>
              <w:t xml:space="preserve"> 附件包括规划说明，政府审批意见、人大审议意见、部门及专家审查意见及修改情况说明，座谈会记录、社会参与记录等。规划说明是对规划文本的具体说明与解释，主要阐述规划决策的编制基础、分析过程和分析结论。</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标的名称：2个乡镇规划：大石寨镇、阿力得尔苏木。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技术要求：规划成果包括规划文本、规划图件、数据库和附件等。</w:t>
            </w:r>
            <w:r>
              <w:br/>
            </w:r>
            <w:r>
              <w:rPr>
                <w:rFonts w:ascii="仿宋_GB2312" w:hAnsi="仿宋_GB2312" w:cs="仿宋_GB2312" w:eastAsia="仿宋_GB2312"/>
              </w:rPr>
              <w:t xml:space="preserve"> （1）规划文本</w:t>
            </w:r>
            <w:r>
              <w:br/>
            </w:r>
            <w:r>
              <w:rPr>
                <w:rFonts w:ascii="仿宋_GB2312" w:hAnsi="仿宋_GB2312" w:cs="仿宋_GB2312" w:eastAsia="仿宋_GB2312"/>
              </w:rPr>
              <w:t xml:space="preserve"> 规划文本应在落实本导则（内自然资字〔2022〕476 号）规划内容的前提下，以简明格式表达规划结论，包括文本条文和必要的表格，表述准确规范。</w:t>
            </w:r>
            <w:r>
              <w:br/>
            </w:r>
            <w:r>
              <w:rPr>
                <w:rFonts w:ascii="仿宋_GB2312" w:hAnsi="仿宋_GB2312" w:cs="仿宋_GB2312" w:eastAsia="仿宋_GB2312"/>
              </w:rPr>
              <w:t xml:space="preserve"> （2）规划图件</w:t>
            </w:r>
            <w:r>
              <w:br/>
            </w:r>
            <w:r>
              <w:rPr>
                <w:rFonts w:ascii="仿宋_GB2312" w:hAnsi="仿宋_GB2312" w:cs="仿宋_GB2312" w:eastAsia="仿宋_GB2312"/>
              </w:rPr>
              <w:t xml:space="preserve"> 各地方结合实际增补图件，图件应符合相关制图规范要求，明确标示图名、图号、比例尺、图例、绘制时间、编制单位名称等。苏木乡镇域范围的图件比例尺原则上为1:10000，镇区（乡集镇）规划图件比例尺一般为1:2000，可根据行政辖区面积的实际情况，适当调整图件比例尺。</w:t>
            </w:r>
            <w:r>
              <w:br/>
            </w:r>
            <w:r>
              <w:rPr>
                <w:rFonts w:ascii="仿宋_GB2312" w:hAnsi="仿宋_GB2312" w:cs="仿宋_GB2312" w:eastAsia="仿宋_GB2312"/>
              </w:rPr>
              <w:t xml:space="preserve"> （3）规划数据库</w:t>
            </w:r>
            <w:r>
              <w:br/>
            </w:r>
            <w:r>
              <w:rPr>
                <w:rFonts w:ascii="仿宋_GB2312" w:hAnsi="仿宋_GB2312" w:cs="仿宋_GB2312" w:eastAsia="仿宋_GB2312"/>
              </w:rPr>
              <w:t xml:space="preserve"> 规划数据库包括现状数据和规划数据，按照统一的数据库标准与规划编制工作同步建设、同步报批，并及时将国土空间规划成果数据纳入国土空间规划“一张图”实施监督信息系统。数据库建设标准及入库方式按照自然资源部、自治区自然资源厅出台的相关文件、标准执行。</w:t>
            </w:r>
            <w:r>
              <w:br/>
            </w:r>
            <w:r>
              <w:rPr>
                <w:rFonts w:ascii="仿宋_GB2312" w:hAnsi="仿宋_GB2312" w:cs="仿宋_GB2312" w:eastAsia="仿宋_GB2312"/>
              </w:rPr>
              <w:t xml:space="preserve"> （4）规划附件</w:t>
            </w:r>
            <w:r>
              <w:br/>
            </w:r>
            <w:r>
              <w:rPr>
                <w:rFonts w:ascii="仿宋_GB2312" w:hAnsi="仿宋_GB2312" w:cs="仿宋_GB2312" w:eastAsia="仿宋_GB2312"/>
              </w:rPr>
              <w:t xml:space="preserve"> 附件包括规划说明，政府审批意见、人大审议意见、部门及专家审查意见及修改情况说明，座谈会记录、社会参与记录等。规划说明是对规划文本的具体说明与解释，主要阐述规划决策的编制基础、分析过程和分析结论。</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标的名称：察尔森镇。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技术要求：规划成果包括规划文本、规划图件、数据库和附件等。</w:t>
            </w:r>
            <w:r>
              <w:br/>
            </w:r>
            <w:r>
              <w:rPr>
                <w:rFonts w:ascii="仿宋_GB2312" w:hAnsi="仿宋_GB2312" w:cs="仿宋_GB2312" w:eastAsia="仿宋_GB2312"/>
              </w:rPr>
              <w:t xml:space="preserve"> （1）规划文本</w:t>
            </w:r>
            <w:r>
              <w:br/>
            </w:r>
            <w:r>
              <w:rPr>
                <w:rFonts w:ascii="仿宋_GB2312" w:hAnsi="仿宋_GB2312" w:cs="仿宋_GB2312" w:eastAsia="仿宋_GB2312"/>
              </w:rPr>
              <w:t xml:space="preserve"> 规划文本应在落实本导则（内自然资字〔2022〕476 号）规划内容的前提下，以简明格式表达规划结论，包括文本条文和必要的表格，表述准确规范。</w:t>
            </w:r>
            <w:r>
              <w:br/>
            </w:r>
            <w:r>
              <w:rPr>
                <w:rFonts w:ascii="仿宋_GB2312" w:hAnsi="仿宋_GB2312" w:cs="仿宋_GB2312" w:eastAsia="仿宋_GB2312"/>
              </w:rPr>
              <w:t xml:space="preserve"> （2）规划图件</w:t>
            </w:r>
            <w:r>
              <w:br/>
            </w:r>
            <w:r>
              <w:rPr>
                <w:rFonts w:ascii="仿宋_GB2312" w:hAnsi="仿宋_GB2312" w:cs="仿宋_GB2312" w:eastAsia="仿宋_GB2312"/>
              </w:rPr>
              <w:t xml:space="preserve"> 各地方结合实际增补图件，图件应符合相关制图规范要求，明确标示图名、图号、比例尺、图例、绘制时间、编制单位名称等。苏木乡镇域范围的图件比例尺原则上为1:10000，镇区（乡集镇）规划图件比例尺一般为1:2000，可根据行政辖区面积的实际情况，适当调整图件比例尺。</w:t>
            </w:r>
            <w:r>
              <w:br/>
            </w:r>
            <w:r>
              <w:rPr>
                <w:rFonts w:ascii="仿宋_GB2312" w:hAnsi="仿宋_GB2312" w:cs="仿宋_GB2312" w:eastAsia="仿宋_GB2312"/>
              </w:rPr>
              <w:t xml:space="preserve"> （3）规划数据库</w:t>
            </w:r>
            <w:r>
              <w:br/>
            </w:r>
            <w:r>
              <w:rPr>
                <w:rFonts w:ascii="仿宋_GB2312" w:hAnsi="仿宋_GB2312" w:cs="仿宋_GB2312" w:eastAsia="仿宋_GB2312"/>
              </w:rPr>
              <w:t xml:space="preserve"> 规划数据库包括现状数据和规划数据，按照统一的数据库标准与规划编制工作同步建设、同步报批，并及时将国土空间规划成果数据纳入国土空间规划“一张图”实施监督信息系统。数据库建设标准及入库方式按照自然资源部、自治区自然资源厅出台的相关文件、标准执行。</w:t>
            </w:r>
            <w:r>
              <w:br/>
            </w:r>
            <w:r>
              <w:rPr>
                <w:rFonts w:ascii="仿宋_GB2312" w:hAnsi="仿宋_GB2312" w:cs="仿宋_GB2312" w:eastAsia="仿宋_GB2312"/>
              </w:rPr>
              <w:t xml:space="preserve"> （4）规划附件</w:t>
            </w:r>
            <w:r>
              <w:br/>
            </w:r>
            <w:r>
              <w:rPr>
                <w:rFonts w:ascii="仿宋_GB2312" w:hAnsi="仿宋_GB2312" w:cs="仿宋_GB2312" w:eastAsia="仿宋_GB2312"/>
              </w:rPr>
              <w:t xml:space="preserve"> 附件包括规划说明，政府审批意见、人大审议意见、部门及专家审查意见及修改情况说明，座谈会记录、社会参与记录等。规划说明是对规划文本的具体说明与解释，主要阐述规划决策的编制基础、分析过程和分析结论。</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不要求投标保证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不要求投标保证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不要求投标保证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对国家和自治区相关政策、法规要求了解</w:t>
            </w:r>
          </w:p>
        </w:tc>
        <w:tc>
          <w:tcPr>
            <w:tcW w:type="dxa" w:w="3115"/>
          </w:tcPr>
          <w:p>
            <w:pPr>
              <w:pStyle w:val="null5"/>
              <w:jc w:val="left"/>
            </w:pPr>
            <w:r>
              <w:rPr>
                <w:rFonts w:ascii="仿宋_GB2312" w:hAnsi="仿宋_GB2312" w:cs="仿宋_GB2312" w:eastAsia="仿宋_GB2312"/>
              </w:rPr>
              <w:t>对国家和自治区相关政策、法规要求的认识、理解，规划目标、战略定位： 1、合理且有针对性、专业可行的得12分； 2、较全面、合理可行的得7分； 3、欠缺的得3分；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工作计划、任务划分、重点难点分析</w:t>
            </w:r>
          </w:p>
        </w:tc>
        <w:tc>
          <w:tcPr>
            <w:tcW w:type="dxa" w:w="3115"/>
          </w:tcPr>
          <w:p>
            <w:pPr>
              <w:pStyle w:val="null5"/>
              <w:jc w:val="left"/>
            </w:pPr>
            <w:r>
              <w:rPr>
                <w:rFonts w:ascii="仿宋_GB2312" w:hAnsi="仿宋_GB2312" w:cs="仿宋_GB2312" w:eastAsia="仿宋_GB2312"/>
              </w:rPr>
              <w:t>根据供应商制定的工作计划，对项目整体工作阶段及任务划分、重点难点分析进行评审： 1、计划完善切实可行、重点难点分析专业可行的得12分； 2、计划较完善、重点难点分析可行的得7分； 3、计划欠缺的得3分；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对项目背景、相关标准及工作内容进行充分了解，技术路线与用户需求吻合，并提供合理的服务方案： 1、方案合理且有针对性、专业可行、全面且详细的得12分； 2、方案较全面、合理可行的得7分； 3、方案欠缺的得3分；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w:t>
            </w:r>
          </w:p>
        </w:tc>
        <w:tc>
          <w:tcPr>
            <w:tcW w:type="dxa" w:w="3115"/>
          </w:tcPr>
          <w:p>
            <w:pPr>
              <w:pStyle w:val="null5"/>
              <w:jc w:val="left"/>
            </w:pPr>
            <w:r>
              <w:rPr>
                <w:rFonts w:ascii="仿宋_GB2312" w:hAnsi="仿宋_GB2312" w:cs="仿宋_GB2312" w:eastAsia="仿宋_GB2312"/>
              </w:rPr>
              <w:t>根据项目工作内容、完成时限和成果交付时间要求，设计具体进度计划： 1、计划完善切实可行、对工作进度有充分保障的得12分； 2、计划较完善、对工作进度有保障的得7分； 3、计划欠缺、对工作进度有简单保障的得3分；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后续服务措施</w:t>
            </w:r>
          </w:p>
        </w:tc>
        <w:tc>
          <w:tcPr>
            <w:tcW w:type="dxa" w:w="3115"/>
          </w:tcPr>
          <w:p>
            <w:pPr>
              <w:pStyle w:val="null5"/>
              <w:jc w:val="left"/>
            </w:pPr>
            <w:r>
              <w:rPr>
                <w:rFonts w:ascii="仿宋_GB2312" w:hAnsi="仿宋_GB2312" w:cs="仿宋_GB2312" w:eastAsia="仿宋_GB2312"/>
              </w:rPr>
              <w:t>根据供应商服务方案中后续服务承诺、服务内容及措施进行评审： 1、合理且有针对性、专业可行的得12分； 2、较全面、合理可行的得7分； 3、欠缺的得3分；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质量保证措施方案</w:t>
            </w:r>
          </w:p>
        </w:tc>
        <w:tc>
          <w:tcPr>
            <w:tcW w:type="dxa" w:w="3115"/>
          </w:tcPr>
          <w:p>
            <w:pPr>
              <w:pStyle w:val="null5"/>
              <w:jc w:val="left"/>
            </w:pPr>
            <w:r>
              <w:rPr>
                <w:rFonts w:ascii="仿宋_GB2312" w:hAnsi="仿宋_GB2312" w:cs="仿宋_GB2312" w:eastAsia="仿宋_GB2312"/>
              </w:rPr>
              <w:t>根据供应商质量保证措施方案进行评审： 1、方案合理且有针对性、专业可行、全面且详细的得10分； 2、方案较全面、合理可行的得6分； 3、方案欠缺的得2分； 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2022年至今类似项目业绩（以合同为准），每提供一份得10分，本项最多得20分。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对国家和自治区相关政策、法规要求了解</w:t>
            </w:r>
          </w:p>
        </w:tc>
        <w:tc>
          <w:tcPr>
            <w:tcW w:type="dxa" w:w="3115"/>
          </w:tcPr>
          <w:p>
            <w:pPr>
              <w:pStyle w:val="null5"/>
              <w:jc w:val="left"/>
            </w:pPr>
            <w:r>
              <w:rPr>
                <w:rFonts w:ascii="仿宋_GB2312" w:hAnsi="仿宋_GB2312" w:cs="仿宋_GB2312" w:eastAsia="仿宋_GB2312"/>
              </w:rPr>
              <w:t>对国家和自治区相关政策、法规要求的认识、理解，规划目标、战略定位： 1、合理且有针对性、专业可行的得12分； 2、较全面、合理可行的得7分； 3、欠缺的得3分；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工作计划、任务划分、重点难点分析</w:t>
            </w:r>
          </w:p>
        </w:tc>
        <w:tc>
          <w:tcPr>
            <w:tcW w:type="dxa" w:w="3115"/>
          </w:tcPr>
          <w:p>
            <w:pPr>
              <w:pStyle w:val="null5"/>
              <w:jc w:val="left"/>
            </w:pPr>
            <w:r>
              <w:rPr>
                <w:rFonts w:ascii="仿宋_GB2312" w:hAnsi="仿宋_GB2312" w:cs="仿宋_GB2312" w:eastAsia="仿宋_GB2312"/>
              </w:rPr>
              <w:t>根据供应商制定的工作计划，对项目整体工作阶段及任务划分、重点难点分析进行评审： 1、计划完善切实可行、重点难点分析专业可行的得12分； 2、计划较完善、重点难点分析可行的得7分； 3、计划欠缺的得3分；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对项目背景、相关标准及工作内容进行充分了解，技术路线与用户需求吻合，并提供合理的服务方案： 1、方案合理且有针对性、专业可行、全面且详细的得12分； 2、方案较全面、合理可行的得7分； 3、方案欠缺的得3分；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w:t>
            </w:r>
          </w:p>
        </w:tc>
        <w:tc>
          <w:tcPr>
            <w:tcW w:type="dxa" w:w="3115"/>
          </w:tcPr>
          <w:p>
            <w:pPr>
              <w:pStyle w:val="null5"/>
              <w:jc w:val="left"/>
            </w:pPr>
            <w:r>
              <w:rPr>
                <w:rFonts w:ascii="仿宋_GB2312" w:hAnsi="仿宋_GB2312" w:cs="仿宋_GB2312" w:eastAsia="仿宋_GB2312"/>
              </w:rPr>
              <w:t>根据项目工作内容、完成时限和成果交付时间要求，设计具体进度计划： 1、计划完善切实可行、对工作进度有充分保障的得12分； 2、计划较完善、对工作进度有保障的得7分； 3、计划欠缺、对工作进度有简单保障的得3分；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后续服务措施</w:t>
            </w:r>
          </w:p>
        </w:tc>
        <w:tc>
          <w:tcPr>
            <w:tcW w:type="dxa" w:w="3115"/>
          </w:tcPr>
          <w:p>
            <w:pPr>
              <w:pStyle w:val="null5"/>
              <w:jc w:val="left"/>
            </w:pPr>
            <w:r>
              <w:rPr>
                <w:rFonts w:ascii="仿宋_GB2312" w:hAnsi="仿宋_GB2312" w:cs="仿宋_GB2312" w:eastAsia="仿宋_GB2312"/>
              </w:rPr>
              <w:t>根据供应商服务方案中后续服务承诺、服务内容及措施进行评审： 1、合理且有针对性、专业可行的得12分； 2、较全面、合理可行的得7分； 3、欠缺的得3分；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质量保证措施方案</w:t>
            </w:r>
          </w:p>
        </w:tc>
        <w:tc>
          <w:tcPr>
            <w:tcW w:type="dxa" w:w="3115"/>
          </w:tcPr>
          <w:p>
            <w:pPr>
              <w:pStyle w:val="null5"/>
              <w:jc w:val="left"/>
            </w:pPr>
            <w:r>
              <w:rPr>
                <w:rFonts w:ascii="仿宋_GB2312" w:hAnsi="仿宋_GB2312" w:cs="仿宋_GB2312" w:eastAsia="仿宋_GB2312"/>
              </w:rPr>
              <w:t>根据供应商质量保证措施方案进行评审： 1、方案合理且有针对性、专业可行、全面且详细的得10分； 2、方案较全面、合理可行的得6分； 3、方案欠缺的得2分； 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2022年至今类似项目业绩（以合同为准），每提供一份得10分，本项最多得20分。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对国家和自治区相关政策、法规要求了解</w:t>
            </w:r>
          </w:p>
        </w:tc>
        <w:tc>
          <w:tcPr>
            <w:tcW w:type="dxa" w:w="3115"/>
          </w:tcPr>
          <w:p>
            <w:pPr>
              <w:pStyle w:val="null5"/>
              <w:jc w:val="left"/>
            </w:pPr>
            <w:r>
              <w:rPr>
                <w:rFonts w:ascii="仿宋_GB2312" w:hAnsi="仿宋_GB2312" w:cs="仿宋_GB2312" w:eastAsia="仿宋_GB2312"/>
              </w:rPr>
              <w:t>对国家和自治区相关政策、法规要求的认识、理解，规划目标、战略定位： 1、合理且有针对性、专业可行的得12分； 2、较全面、合理可行的得7分； 3、欠缺的得3分；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工作计划、任务划分、重点难点分析</w:t>
            </w:r>
          </w:p>
        </w:tc>
        <w:tc>
          <w:tcPr>
            <w:tcW w:type="dxa" w:w="3115"/>
          </w:tcPr>
          <w:p>
            <w:pPr>
              <w:pStyle w:val="null5"/>
              <w:jc w:val="left"/>
            </w:pPr>
            <w:r>
              <w:rPr>
                <w:rFonts w:ascii="仿宋_GB2312" w:hAnsi="仿宋_GB2312" w:cs="仿宋_GB2312" w:eastAsia="仿宋_GB2312"/>
              </w:rPr>
              <w:t>根据供应商制定的工作计划，对项目整体工作阶段及任务划分、重点难点分析进行评审： 1、计划完善切实可行、重点难点分析专业可行的得12分； 2、计划较完善、重点难点分析可行的得7分； 3、计划欠缺的得3分；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对项目背景、相关标准及工作内容进行充分了解，技术路线与用户需求吻合，并提供合理的服务方案： 1、方案合理且有针对性、专业可行、全面且详细的得12分； 2、方案较全面、合理可行的得7分； 3、方案欠缺的得3分；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w:t>
            </w:r>
          </w:p>
        </w:tc>
        <w:tc>
          <w:tcPr>
            <w:tcW w:type="dxa" w:w="3115"/>
          </w:tcPr>
          <w:p>
            <w:pPr>
              <w:pStyle w:val="null5"/>
              <w:jc w:val="left"/>
            </w:pPr>
            <w:r>
              <w:rPr>
                <w:rFonts w:ascii="仿宋_GB2312" w:hAnsi="仿宋_GB2312" w:cs="仿宋_GB2312" w:eastAsia="仿宋_GB2312"/>
              </w:rPr>
              <w:t>根据项目工作内容、完成时限和成果交付时间要求，设计具体进度计划： 1、计划完善切实可行、对工作进度有充分保障的得12分； 2、计划较完善、对工作进度有保障的得7分； 3、计划欠缺、对工作进度有简单保障的得3分；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后续服务措施</w:t>
            </w:r>
          </w:p>
        </w:tc>
        <w:tc>
          <w:tcPr>
            <w:tcW w:type="dxa" w:w="3115"/>
          </w:tcPr>
          <w:p>
            <w:pPr>
              <w:pStyle w:val="null5"/>
              <w:jc w:val="left"/>
            </w:pPr>
            <w:r>
              <w:rPr>
                <w:rFonts w:ascii="仿宋_GB2312" w:hAnsi="仿宋_GB2312" w:cs="仿宋_GB2312" w:eastAsia="仿宋_GB2312"/>
              </w:rPr>
              <w:t>根据供应商服务方案中后续服务承诺、服务内容及措施进行评审： 1、合理且有针对性、专业可行的得12分； 2、较全面、合理可行的得7分； 3、欠缺的得3分；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质量保证措施方案</w:t>
            </w:r>
          </w:p>
        </w:tc>
        <w:tc>
          <w:tcPr>
            <w:tcW w:type="dxa" w:w="3115"/>
          </w:tcPr>
          <w:p>
            <w:pPr>
              <w:pStyle w:val="null5"/>
              <w:jc w:val="left"/>
            </w:pPr>
            <w:r>
              <w:rPr>
                <w:rFonts w:ascii="仿宋_GB2312" w:hAnsi="仿宋_GB2312" w:cs="仿宋_GB2312" w:eastAsia="仿宋_GB2312"/>
              </w:rPr>
              <w:t>根据供应商质量保证措施方案进行评审： 1、方案合理且有针对性、专业可行、全面且详细的得10分； 2、方案较全面、合理可行的得6分； 3、方案欠缺的得2分； 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2022年至今类似项目业绩（以合同为准），每提供一份得10分，本项最多得20分。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