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绿水更换环保清洁供暖设备</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科尔沁右翼前旗绿水种畜繁育中心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金叶工程项目管理有限公司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152221-YJZB-CS-20250001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金叶工程项目管理有限公司</w:t>
      </w:r>
      <w:r>
        <w:rPr>
          <w:rFonts w:ascii="仿宋_GB2312" w:hAnsi="仿宋_GB2312" w:cs="仿宋_GB2312" w:eastAsia="仿宋_GB2312"/>
        </w:rPr>
        <w:t xml:space="preserve"> 受 </w:t>
      </w:r>
      <w:r>
        <w:rPr>
          <w:rFonts w:ascii="仿宋_GB2312" w:hAnsi="仿宋_GB2312" w:cs="仿宋_GB2312" w:eastAsia="仿宋_GB2312"/>
        </w:rPr>
        <w:t>科尔沁右翼前旗绿水种畜繁育中心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绿水更换环保清洁供暖设备</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绿水更换环保清洁供暖设备</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152221-YJZB-CS-20250001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科右前旗财购计划[2025]00066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绿水更换环保清洁供暖设备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740,000.00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金叶工程项目管理有限公司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乌兰浩特市信合广场二期西侧4号门市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史亚楠</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0482-3804380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科尔沁右翼前旗绿水种畜繁育中心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科尔沁右翼前旗绿水种畜场</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庞宝迪</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0482-7950666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代理服务费收费标准：参照内工建协【2022】34号文件计算收取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科尔沁右翼前旗绿水种畜繁育中心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金叶工程项目管理有限公司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绿水更换环保清洁供暖设备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签订合同后，30日历天完成交货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1、达到采购人标准，最终一次性验收合格后拨付款项，最终以财政拨付为准，达到付款条件起15日，支付合同总金额的100.00%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标的名称：绿水更换环保清洁供暖设备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根据投标人针对本项目供货保障措施的描述情况，措施内容全面 、合理、 科学、可行。好：10分，中：7分，一般：4分，差：0分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安装调试服务方案</w:t>
            </w:r>
          </w:p>
        </w:tc>
        <w:tc>
          <w:tcPr>
            <w:tcW w:type="dxa" w:w="3115"/>
          </w:tcPr>
          <w:p>
            <w:pPr>
              <w:pStyle w:val="null5"/>
              <w:jc w:val="left"/>
            </w:pPr>
            <w:r>
              <w:rPr>
                <w:rFonts w:ascii="仿宋_GB2312" w:hAnsi="仿宋_GB2312" w:cs="仿宋_GB2312" w:eastAsia="仿宋_GB2312"/>
              </w:rPr>
              <w:t>根据投标人针对本项目提出的安装调试服务方案描述情况，方案内容全面 、合理、科学、可行。好：10分，中：7分，一般：4分，差：0分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w:t>
            </w:r>
          </w:p>
        </w:tc>
        <w:tc>
          <w:tcPr>
            <w:tcW w:type="dxa" w:w="3115"/>
          </w:tcPr>
          <w:p>
            <w:pPr>
              <w:pStyle w:val="null5"/>
              <w:jc w:val="left"/>
            </w:pPr>
            <w:r>
              <w:rPr>
                <w:rFonts w:ascii="仿宋_GB2312" w:hAnsi="仿宋_GB2312" w:cs="仿宋_GB2312" w:eastAsia="仿宋_GB2312"/>
              </w:rPr>
              <w:t>根据投标人针对本项目所提出的质量保障措施描述情况，措施内容全面、 完善、有明确的质 量控制目标。好：10分，中：7分，一般：4分，差：0分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产品技术可靠性</w:t>
            </w:r>
          </w:p>
        </w:tc>
        <w:tc>
          <w:tcPr>
            <w:tcW w:type="dxa" w:w="3115"/>
          </w:tcPr>
          <w:p>
            <w:pPr>
              <w:pStyle w:val="null5"/>
              <w:jc w:val="left"/>
            </w:pPr>
            <w:r>
              <w:rPr>
                <w:rFonts w:ascii="仿宋_GB2312" w:hAnsi="仿宋_GB2312" w:cs="仿宋_GB2312" w:eastAsia="仿宋_GB2312"/>
              </w:rPr>
              <w:t>技术可靠性要求： 所投重要产品中所有产品技术参数完全满足参数要求， 好：10分，中：7分，一般：4分，差：0分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投标人的售后服务方案编制完善、操作性强、指标明确，好：10分，中：7分，一般：4分，差：0分。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培训方案完善，承诺现场免费培训，培训内容包括设备操作、设备维护及 简单的设备维修， 保证使用者能熟练操作，并配备完整的使用说明及操作 手册。好：10分，中：7分，一般：4分，差：0分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商务业绩</w:t>
            </w:r>
          </w:p>
        </w:tc>
        <w:tc>
          <w:tcPr>
            <w:tcW w:type="dxa" w:w="3115"/>
          </w:tcPr>
          <w:p>
            <w:pPr>
              <w:pStyle w:val="null5"/>
              <w:jc w:val="left"/>
            </w:pPr>
            <w:r>
              <w:rPr>
                <w:rFonts w:ascii="仿宋_GB2312" w:hAnsi="仿宋_GB2312" w:cs="仿宋_GB2312" w:eastAsia="仿宋_GB2312"/>
              </w:rPr>
              <w:t>2022年1月至今每有一项类似业绩得5分，提供合同协议书或中标通知书，此项最多得10分。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详见附件：封面及目录</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