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阿贵扎拉嘎嘎查屯内街巷硬化项目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吐列毛杜镇人民政府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恒诺鼎诚项目管理有限公司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152222-BTSZC--CS-20250003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恒诺鼎诚项目管理有限公司</w:t>
      </w:r>
      <w:r>
        <w:rPr>
          <w:rFonts w:ascii="仿宋_GB2312" w:hAnsi="仿宋_GB2312" w:cs="仿宋_GB2312" w:eastAsia="仿宋_GB2312"/>
        </w:rPr>
        <w:t xml:space="preserve"> 受 </w:t>
      </w:r>
      <w:r>
        <w:rPr>
          <w:rFonts w:ascii="仿宋_GB2312" w:hAnsi="仿宋_GB2312" w:cs="仿宋_GB2312" w:eastAsia="仿宋_GB2312"/>
        </w:rPr>
        <w:t>吐列毛杜镇人民政府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阿贵扎拉嘎嘎查屯内街巷硬化项目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阿贵扎拉嘎嘎查屯内街巷硬化项目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152222-BTSZC--CS-20250003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科右中旗财购计划[2025]00282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2,199,872.90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阿贵扎拉嘎嘎查屯内街巷硬化项目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2,199,872.90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1、特定资格要求：（1）本次招标要求投标人须具备建设行政主管部门颁发的市政公用工程施工总承包三级及以上资质。 （2）投标人须具有有效的省级及以上建设行政主管部门核发的《安全生产许可证》。 （3）投标人拟派项目经理需具备建设行政主管部门颁发的市政公用工程专业二级及以上注册建造师并具备有效的建造师安全生产考核合格证书。（拟派建造师注册证书的注册单位名称必须与投标单位名称一致）。 （4）项目经理不得同时在2个及以上在建项目中任职，同一在建项目不得兼任，投标期间没有被当地司法机关列入失信被执行人名单、无涉及较重及严重失信行为的情形（提供承诺并加盖公章）。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恒诺鼎诚项目管理有限公司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内蒙古自治区包头市稀土开发区黄河大街86号时代广场G区C座21层2111室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宋岩</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13354829933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吐列毛杜镇人民政府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内蒙古科尔沁右翼中旗吐列毛杜镇人民政府办公楼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029400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乌云</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15004852009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代理服务费收费标准：参照内蒙古自治区工程建设协会文件 内工建协〔2022〕34号“关于印发《内蒙古自治区建设工程招标代理服务收费指导意见》的通知”计取。工程类：中标金额的1.2%，低于1万元的按1万元收取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1）违约风险提示，成交供应商除因不可抗力（不能预见、不能避免且不能克服的客观情况）不能履行合同义务外，不得拒绝签订或者拒绝履行合同。拒绝签订或者拒绝履行合同的成交供应商不得参加对该项目重新开展的采购活动，且应当承担法律责任。 （2）打击恶意低价谋取成交行为，授权磋商（谈判）小组在认为供应商最终报价明显低于其他实质响应供应商报价、有可能影响施工质量、难以诚信履约时，要求供应商现场在合理的时间内提供书面说明，说明内容包括但不限于其最后报价与首次报价差额的原因、可诚信履约的具体理由等。供应商不能说明报价合理性的，磋商（谈判）小组可以将其作为无效响应。</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吐列毛杜镇人民政府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恒诺鼎诚项目管理有限公司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1.项目名称：阿贵扎拉嘎嘎查屯内街巷硬化项目</w:t>
      </w:r>
    </w:p>
    <w:p>
      <w:pPr>
        <w:pStyle w:val="null5"/>
        <w:jc w:val="left"/>
      </w:pPr>
      <w:r>
        <w:rPr>
          <w:rFonts w:ascii="仿宋_GB2312" w:hAnsi="仿宋_GB2312" w:cs="仿宋_GB2312" w:eastAsia="仿宋_GB2312"/>
        </w:rPr>
        <w:t>2.采购内容：阿贵扎拉嘎嘎查屯内街巷硬化4公里（具体详见工程量清单）</w:t>
      </w:r>
    </w:p>
    <w:p>
      <w:pPr>
        <w:pStyle w:val="null5"/>
        <w:jc w:val="left"/>
      </w:pPr>
      <w:r>
        <w:rPr>
          <w:rFonts w:ascii="仿宋_GB2312" w:hAnsi="仿宋_GB2312" w:cs="仿宋_GB2312" w:eastAsia="仿宋_GB2312"/>
        </w:rPr>
        <w:t>3.主要功能或目标：无直接经济效益社会效益；为农牧民生产生活创造便利条件，方便农牧民出行，提高办事效率。</w:t>
      </w:r>
    </w:p>
    <w:p>
      <w:pPr>
        <w:pStyle w:val="null5"/>
        <w:jc w:val="left"/>
      </w:pPr>
      <w:r>
        <w:rPr>
          <w:rFonts w:ascii="仿宋_GB2312" w:hAnsi="仿宋_GB2312" w:cs="仿宋_GB2312" w:eastAsia="仿宋_GB2312"/>
        </w:rPr>
        <w:t>4.需满足的要求：解决农村牧区群众出行方便问题，提升农村牧区群众生活质量和生活水平。</w:t>
      </w:r>
    </w:p>
    <w:p>
      <w:pPr>
        <w:pStyle w:val="null5"/>
        <w:jc w:val="left"/>
      </w:pPr>
      <w:r>
        <w:rPr>
          <w:rFonts w:ascii="仿宋_GB2312" w:hAnsi="仿宋_GB2312" w:cs="仿宋_GB2312" w:eastAsia="仿宋_GB2312"/>
        </w:rPr>
        <w:t>5.质量要求：符合国家、地方有关法律法规和政策规定；符合投标人在投标（响应）文件中或磋商过程中对服务质量作出的书面承诺、声明或保证。</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合同签订之日起45日内完成并验收合格。</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内蒙古兴安盟科尔沁右翼中旗吐列毛都镇阿贵扎拉嘎嘎查</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符合国家、地方有关法律法规和政策规定；符合投标人在投标（响应）文件中或磋商过程中对服务质量作出的书面承诺、声明或保证。</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1、期次1，说明：严格按照国家、地方有关法律法规和政策规定、竞争性磋商文件、响应文件以及最终签订的合同内容执行。</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1、签订合同后支付预付款，达到付款条件起15日，支付合同总金额的45.00%</w:t>
            </w:r>
          </w:p>
          <w:p>
            <w:pPr>
              <w:pStyle w:val="null5"/>
              <w:jc w:val="left"/>
            </w:pPr>
            <w:r>
              <w:rPr>
                <w:rFonts w:ascii="仿宋_GB2312" w:hAnsi="仿宋_GB2312" w:cs="仿宋_GB2312" w:eastAsia="仿宋_GB2312"/>
              </w:rPr>
              <w:t>2、根据工程进展，支付相应的进度款项，达到付款条件起15日，支付合同总金额的55.00%</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7</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质保期：1年（自竣工验收合格之日起计算）</w:t>
              <w:br/>
              <w:t>投标有效期：90日历天（从响应文件提交截止之日算起）</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标的名称：阿贵扎拉嘎嘎查屯内街巷硬化项目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rPr>
              <w:t>符合“工程量清单”中相应要求。</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 注：如供应商未能提供相关证明材料，供应商应出具“具有良好的商业信誉和健全的财务会计制度”的承诺书，并加盖企业公章。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 注：如供应商未能提供相关证明材料，供应商应出具“依法缴纳税金和社会保障资金”的承诺书，并加盖企业公章。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 注：如供应商未能提供相关证明材料，供应商应出具“具有履行合同所必需的设备和专业技术能力”的承诺书，并加盖企业公章。</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本项目不允许联合体投标。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（1）本次招标要求投标人须具备建设行政主管部门颁发的市政公用工程施工总承包三级及以上资质。 （2）投标人须具有有效的省级及以上建设行政主管部门核发的《安全生产许可证》。 （3）投标人拟派项目经理需具备建设行政主管部门颁发的市政公用工程专业二级及以上注册建造师并具备有效的建造师安全生产考核合格证书。（拟派建造师注册证书的注册单位名称必须与投标单位名称一致）。 （4）项目经理不得同时在2个及以上在建项目中任职，同一在建项目不得兼任，投标期间没有被当地司法机关列入失信被执行人名单、无涉及较重及严重失信行为的情形（提供承诺并加盖公章）。</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本项目未要求缴纳保证金，可忽略本项。</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▲供应商不得存在磋商文件要求的其他无效投标情形，围标、串标和法律法规规定的其它无效投标条款（提供承诺书，并加盖企业公章）。</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施工组织设计中主要部位施工方法</w:t>
            </w:r>
          </w:p>
        </w:tc>
        <w:tc>
          <w:tcPr>
            <w:tcW w:type="dxa" w:w="3115"/>
          </w:tcPr>
          <w:p>
            <w:pPr>
              <w:pStyle w:val="null5"/>
              <w:jc w:val="left"/>
            </w:pPr>
            <w:r>
              <w:rPr>
                <w:rFonts w:ascii="仿宋_GB2312" w:hAnsi="仿宋_GB2312" w:cs="仿宋_GB2312" w:eastAsia="仿宋_GB2312"/>
              </w:rPr>
              <w:t>根据投标人针对本项目提供的主要部位施工方法进行细致评审： （1）施工方案及技术措施；（2）成品保护与工程保修工作的管理措施；（3）工程的重点、难点以及合理化建议。 方案包括以上3项关键内容，每小项内容中存在缺陷得1.5分；每小项内容无缺陷得3分；未提供不得分。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的情况,方案里对施工流程的阐述不够清晰，导致施工人员难以准确按照其执行；所选用的施工工艺、材料等与本项目实际条件不匹配，无法保障施工质量和进度；涉及的数据、参数等存在错误或不合理之处，不能真实反映项目情况等问题。]</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主要施工进度计划</w:t>
            </w:r>
          </w:p>
        </w:tc>
        <w:tc>
          <w:tcPr>
            <w:tcW w:type="dxa" w:w="3115"/>
          </w:tcPr>
          <w:p>
            <w:pPr>
              <w:pStyle w:val="null5"/>
              <w:jc w:val="left"/>
            </w:pPr>
            <w:r>
              <w:rPr>
                <w:rFonts w:ascii="仿宋_GB2312" w:hAnsi="仿宋_GB2312" w:cs="仿宋_GB2312" w:eastAsia="仿宋_GB2312"/>
              </w:rPr>
              <w:t>根据投标人针对本项目提供的主要施工进度计划进行细致评审： （1）施工进度计划；（2）工期保证措施；（3）劳动力需求计划及保证措施。 方案包括以上3项关键内容，每小项内容中存在缺陷得1.5分；每小项内容无缺陷得3分；未提供不得分。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施工进度计划安排不合理，未充分考虑项目实际情况和潜在风险；工期保证措施缺乏可行性和针对性，不能保证工程按期完成；劳动力需求计划与实际施工需求不符，无法保证施工质量和进度；保证措施不完善，未能有效解决劳动力短缺或过剩等问题。】</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主要施工机械安全、材料使用计划</w:t>
            </w:r>
          </w:p>
        </w:tc>
        <w:tc>
          <w:tcPr>
            <w:tcW w:type="dxa" w:w="3115"/>
          </w:tcPr>
          <w:p>
            <w:pPr>
              <w:pStyle w:val="null5"/>
              <w:jc w:val="left"/>
            </w:pPr>
            <w:r>
              <w:rPr>
                <w:rFonts w:ascii="仿宋_GB2312" w:hAnsi="仿宋_GB2312" w:cs="仿宋_GB2312" w:eastAsia="仿宋_GB2312"/>
              </w:rPr>
              <w:t>根据投标人针对本项目提供的材料设备进场计划及其保证措施进行细致评审： （1）设备进场计划；（2）材料使用计划；（3）安全保证措施。 方案包括以上3项关键内容，每小项内容中存在缺陷得1.5分；每小项内容无缺陷得3分；未提供不得分。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设备进场时间与施工进度不协调，影响工程进度；材料使用计划不合理，易导致浪费或短缺；安全措施缺乏应对设备故障和材料问题的应急预案，影响项目顺利进行。】</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质量控制措施</w:t>
            </w:r>
          </w:p>
        </w:tc>
        <w:tc>
          <w:tcPr>
            <w:tcW w:type="dxa" w:w="3115"/>
          </w:tcPr>
          <w:p>
            <w:pPr>
              <w:pStyle w:val="null5"/>
              <w:jc w:val="left"/>
            </w:pPr>
            <w:r>
              <w:rPr>
                <w:rFonts w:ascii="仿宋_GB2312" w:hAnsi="仿宋_GB2312" w:cs="仿宋_GB2312" w:eastAsia="仿宋_GB2312"/>
              </w:rPr>
              <w:t>根据投标人针对本项目提供的质量控制措施进行细致评审： （1）质量管理体系及控制措施；（2）质量验收标准与程序；（3）质量问题的预防与纠正措施 方案包括以上3项关键内容，每小项内容中存在缺陷得1.5分；每小项内容无缺陷得3分；未提供不得分。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质量检查与验收程序不明确，缺乏具体的操作步骤和标准；预防措施缺乏针对性和有效性，无法有效预防质量问题的发生；纠正措施不及时或不到位，导致质量问题得不到及时解决；对于关键节点和关键工序的质量控制不严格，存在安全隐患。】</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安全生产控制措施</w:t>
            </w:r>
          </w:p>
        </w:tc>
        <w:tc>
          <w:tcPr>
            <w:tcW w:type="dxa" w:w="3115"/>
          </w:tcPr>
          <w:p>
            <w:pPr>
              <w:pStyle w:val="null5"/>
              <w:jc w:val="left"/>
            </w:pPr>
            <w:r>
              <w:rPr>
                <w:rFonts w:ascii="仿宋_GB2312" w:hAnsi="仿宋_GB2312" w:cs="仿宋_GB2312" w:eastAsia="仿宋_GB2312"/>
              </w:rPr>
              <w:t>根据投标人针对本项目提供的安全生产控制措施进行细致评审： （1）安全生产管理体系及控制措施；（2）安全生产责任制度；（3）安全生产教育培训。 方案包括以上3项关键内容，每小项内容中存在缺陷得1.5分；每小项内容无缺陷得3分；未提供不得分。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控制措施缺乏针对性和可操作性，不能有效预防安全事故的发生，以及安全隐患无法及时消除；控制措施不完善，存在重大安全风险。】</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防止环境污染、减少扰民、降低噪声等保证文明施工措施</w:t>
            </w:r>
          </w:p>
        </w:tc>
        <w:tc>
          <w:tcPr>
            <w:tcW w:type="dxa" w:w="3115"/>
          </w:tcPr>
          <w:p>
            <w:pPr>
              <w:pStyle w:val="null5"/>
              <w:jc w:val="left"/>
            </w:pPr>
            <w:r>
              <w:rPr>
                <w:rFonts w:ascii="仿宋_GB2312" w:hAnsi="仿宋_GB2312" w:cs="仿宋_GB2312" w:eastAsia="仿宋_GB2312"/>
              </w:rPr>
              <w:t>根据投标人针对本项目提供的防止环境污染、减少扰民、降低噪声等保证文明施工措施进行细致评审： （1）文明施工措施计划；（2）施工场地治安保卫管理计划；（3）施工环保措施计划。 方案包括以上3项关键内容，每小项内容中存在缺陷得1.5分；每小项内容无缺陷得3分；未提供不得分。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措施针对性不强、不具体，无法有效指导实际施工工作；对于可能产生的环境污染、扰民问题以及噪声控制等方面，未提出明确的预防措施和解决方案；或者提出的措施不全面，存在遗漏重要环节的情况；对于已发生的环境污染、扰民事件以及噪声超标等问题，未制定及时有效的应对措施和整改方案，无法迅速消除不良影响。】</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季节性施工措施</w:t>
            </w:r>
          </w:p>
        </w:tc>
        <w:tc>
          <w:tcPr>
            <w:tcW w:type="dxa" w:w="3115"/>
          </w:tcPr>
          <w:p>
            <w:pPr>
              <w:pStyle w:val="null5"/>
              <w:jc w:val="left"/>
            </w:pPr>
            <w:r>
              <w:rPr>
                <w:rFonts w:ascii="仿宋_GB2312" w:hAnsi="仿宋_GB2312" w:cs="仿宋_GB2312" w:eastAsia="仿宋_GB2312"/>
              </w:rPr>
              <w:t>根据投标人针对本项目提供的季节施工措施进行细致评审： （1）季节性施工措施；（2）特殊气候条件及不利气候条件应急预案 方案包括以上2项关键内容，每小项内容中存在缺陷得1.5分；每小项内容无缺陷得3分；未提供不得分。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措施针对性不强、不具体，无法有效指导实际季节性施工及应急响应工作。】</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自2022年起承揽过类似项目业绩，每个项目得5分，最高得10分。 佐证资料：合同； 类似项目指：市政工程</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