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2024年动物免疫疫苗采购</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科尔沁右翼中旗动物疫病预防控制中心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内蒙古泽川工程项目管理有限公司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152222-NMZC-GK-20250003</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内蒙古泽川工程项目管理有限公司</w:t>
      </w:r>
      <w:r>
        <w:rPr>
          <w:rFonts w:ascii="仿宋_GB2312" w:hAnsi="仿宋_GB2312" w:cs="仿宋_GB2312" w:eastAsia="仿宋_GB2312"/>
        </w:rPr>
        <w:t xml:space="preserve"> 受 </w:t>
      </w:r>
      <w:r>
        <w:rPr>
          <w:rFonts w:ascii="仿宋_GB2312" w:hAnsi="仿宋_GB2312" w:cs="仿宋_GB2312" w:eastAsia="仿宋_GB2312"/>
        </w:rPr>
        <w:t>科尔沁右翼中旗动物疫病预防控制中心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2024年动物免疫疫苗采购</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2024年动物免疫疫苗采购</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152222-NMZC-GK-20250003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科右中旗财购计划[2025]00330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Ⅱ号炭疽芽孢疫苗</w:t>
            </w:r>
          </w:p>
        </w:tc>
        <w:tc>
          <w:tcPr>
            <w:tcW w:type="dxa" w:w="831"/>
          </w:tcPr>
          <w:p>
            <w:pPr>
              <w:pStyle w:val="null5"/>
              <w:jc w:val="right"/>
            </w:pPr>
            <w:r>
              <w:rPr>
                <w:rFonts w:ascii="仿宋_GB2312" w:hAnsi="仿宋_GB2312" w:cs="仿宋_GB2312" w:eastAsia="仿宋_GB2312"/>
              </w:rPr>
              <w:t>168,700.00</w:t>
            </w:r>
          </w:p>
        </w:tc>
        <w:tc>
          <w:tcPr>
            <w:tcW w:type="dxa" w:w="831"/>
          </w:tcPr>
          <w:p>
            <w:pPr>
              <w:pStyle w:val="null5"/>
              <w:jc w:val="right"/>
            </w:pPr>
            <w:r>
              <w:rPr>
                <w:rFonts w:ascii="仿宋_GB2312" w:hAnsi="仿宋_GB2312" w:cs="仿宋_GB2312" w:eastAsia="仿宋_GB2312"/>
              </w:rPr>
              <w:t>337,400.00</w:t>
            </w:r>
          </w:p>
        </w:tc>
        <w:tc>
          <w:tcPr>
            <w:tcW w:type="dxa" w:w="831"/>
          </w:tcPr>
          <w:p>
            <w:pPr>
              <w:pStyle w:val="null5"/>
              <w:jc w:val="left"/>
            </w:pPr>
            <w:r>
              <w:rPr>
                <w:rFonts w:ascii="仿宋_GB2312" w:hAnsi="仿宋_GB2312" w:cs="仿宋_GB2312" w:eastAsia="仿宋_GB2312"/>
              </w:rPr>
              <w:t>毫升</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猪瘟耐热保护剂活疫苗（兔源）</w:t>
            </w:r>
          </w:p>
        </w:tc>
        <w:tc>
          <w:tcPr>
            <w:tcW w:type="dxa" w:w="831"/>
          </w:tcPr>
          <w:p>
            <w:pPr>
              <w:pStyle w:val="null5"/>
              <w:jc w:val="right"/>
            </w:pPr>
            <w:r>
              <w:rPr>
                <w:rFonts w:ascii="仿宋_GB2312" w:hAnsi="仿宋_GB2312" w:cs="仿宋_GB2312" w:eastAsia="仿宋_GB2312"/>
              </w:rPr>
              <w:t>114,420.00</w:t>
            </w:r>
          </w:p>
        </w:tc>
        <w:tc>
          <w:tcPr>
            <w:tcW w:type="dxa" w:w="831"/>
          </w:tcPr>
          <w:p>
            <w:pPr>
              <w:pStyle w:val="null5"/>
              <w:jc w:val="right"/>
            </w:pPr>
            <w:r>
              <w:rPr>
                <w:rFonts w:ascii="仿宋_GB2312" w:hAnsi="仿宋_GB2312" w:cs="仿宋_GB2312" w:eastAsia="仿宋_GB2312"/>
              </w:rPr>
              <w:t>91,536.00</w:t>
            </w:r>
          </w:p>
        </w:tc>
        <w:tc>
          <w:tcPr>
            <w:tcW w:type="dxa" w:w="831"/>
          </w:tcPr>
          <w:p>
            <w:pPr>
              <w:pStyle w:val="null5"/>
              <w:jc w:val="left"/>
            </w:pPr>
            <w:r>
              <w:rPr>
                <w:rFonts w:ascii="仿宋_GB2312" w:hAnsi="仿宋_GB2312" w:cs="仿宋_GB2312" w:eastAsia="仿宋_GB2312"/>
              </w:rPr>
              <w:t>头份</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羊快疫、猝疽(羔羊痢疾)、肠毒血症三联四防疫苗</w:t>
            </w:r>
          </w:p>
        </w:tc>
        <w:tc>
          <w:tcPr>
            <w:tcW w:type="dxa" w:w="831"/>
          </w:tcPr>
          <w:p>
            <w:pPr>
              <w:pStyle w:val="null5"/>
              <w:jc w:val="right"/>
            </w:pPr>
            <w:r>
              <w:rPr>
                <w:rFonts w:ascii="仿宋_GB2312" w:hAnsi="仿宋_GB2312" w:cs="仿宋_GB2312" w:eastAsia="仿宋_GB2312"/>
              </w:rPr>
              <w:t>119,400.00</w:t>
            </w:r>
          </w:p>
        </w:tc>
        <w:tc>
          <w:tcPr>
            <w:tcW w:type="dxa" w:w="831"/>
          </w:tcPr>
          <w:p>
            <w:pPr>
              <w:pStyle w:val="null5"/>
              <w:jc w:val="right"/>
            </w:pPr>
            <w:r>
              <w:rPr>
                <w:rFonts w:ascii="仿宋_GB2312" w:hAnsi="仿宋_GB2312" w:cs="仿宋_GB2312" w:eastAsia="仿宋_GB2312"/>
              </w:rPr>
              <w:t>26,268.00</w:t>
            </w:r>
          </w:p>
        </w:tc>
        <w:tc>
          <w:tcPr>
            <w:tcW w:type="dxa" w:w="831"/>
          </w:tcPr>
          <w:p>
            <w:pPr>
              <w:pStyle w:val="null5"/>
              <w:jc w:val="left"/>
            </w:pPr>
            <w:r>
              <w:rPr>
                <w:rFonts w:ascii="仿宋_GB2312" w:hAnsi="仿宋_GB2312" w:cs="仿宋_GB2312" w:eastAsia="仿宋_GB2312"/>
              </w:rPr>
              <w:t>头份</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山羊痘活疫苗</w:t>
            </w:r>
          </w:p>
        </w:tc>
        <w:tc>
          <w:tcPr>
            <w:tcW w:type="dxa" w:w="831"/>
          </w:tcPr>
          <w:p>
            <w:pPr>
              <w:pStyle w:val="null5"/>
              <w:jc w:val="right"/>
            </w:pPr>
            <w:r>
              <w:rPr>
                <w:rFonts w:ascii="仿宋_GB2312" w:hAnsi="仿宋_GB2312" w:cs="仿宋_GB2312" w:eastAsia="仿宋_GB2312"/>
              </w:rPr>
              <w:t>127,300.00</w:t>
            </w:r>
          </w:p>
        </w:tc>
        <w:tc>
          <w:tcPr>
            <w:tcW w:type="dxa" w:w="831"/>
          </w:tcPr>
          <w:p>
            <w:pPr>
              <w:pStyle w:val="null5"/>
              <w:jc w:val="right"/>
            </w:pPr>
            <w:r>
              <w:rPr>
                <w:rFonts w:ascii="仿宋_GB2312" w:hAnsi="仿宋_GB2312" w:cs="仿宋_GB2312" w:eastAsia="仿宋_GB2312"/>
              </w:rPr>
              <w:t>38,190.00</w:t>
            </w:r>
          </w:p>
        </w:tc>
        <w:tc>
          <w:tcPr>
            <w:tcW w:type="dxa" w:w="831"/>
          </w:tcPr>
          <w:p>
            <w:pPr>
              <w:pStyle w:val="null5"/>
              <w:jc w:val="left"/>
            </w:pPr>
            <w:r>
              <w:rPr>
                <w:rFonts w:ascii="仿宋_GB2312" w:hAnsi="仿宋_GB2312" w:cs="仿宋_GB2312" w:eastAsia="仿宋_GB2312"/>
              </w:rPr>
              <w:t>头份</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鸡新城疫耐热保护剂活疫苗（La Sota株）</w:t>
            </w:r>
          </w:p>
        </w:tc>
        <w:tc>
          <w:tcPr>
            <w:tcW w:type="dxa" w:w="831"/>
          </w:tcPr>
          <w:p>
            <w:pPr>
              <w:pStyle w:val="null5"/>
              <w:jc w:val="right"/>
            </w:pPr>
            <w:r>
              <w:rPr>
                <w:rFonts w:ascii="仿宋_GB2312" w:hAnsi="仿宋_GB2312" w:cs="仿宋_GB2312" w:eastAsia="仿宋_GB2312"/>
              </w:rPr>
              <w:t>468,600.00</w:t>
            </w:r>
          </w:p>
        </w:tc>
        <w:tc>
          <w:tcPr>
            <w:tcW w:type="dxa" w:w="831"/>
          </w:tcPr>
          <w:p>
            <w:pPr>
              <w:pStyle w:val="null5"/>
              <w:jc w:val="right"/>
            </w:pPr>
            <w:r>
              <w:rPr>
                <w:rFonts w:ascii="仿宋_GB2312" w:hAnsi="仿宋_GB2312" w:cs="仿宋_GB2312" w:eastAsia="仿宋_GB2312"/>
              </w:rPr>
              <w:t>4,686.00</w:t>
            </w:r>
          </w:p>
        </w:tc>
        <w:tc>
          <w:tcPr>
            <w:tcW w:type="dxa" w:w="831"/>
          </w:tcPr>
          <w:p>
            <w:pPr>
              <w:pStyle w:val="null5"/>
              <w:jc w:val="left"/>
            </w:pPr>
            <w:r>
              <w:rPr>
                <w:rFonts w:ascii="仿宋_GB2312" w:hAnsi="仿宋_GB2312" w:cs="仿宋_GB2312" w:eastAsia="仿宋_GB2312"/>
              </w:rPr>
              <w:t>羽份</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气肿疽灭活疫苗</w:t>
            </w:r>
          </w:p>
        </w:tc>
        <w:tc>
          <w:tcPr>
            <w:tcW w:type="dxa" w:w="831"/>
          </w:tcPr>
          <w:p>
            <w:pPr>
              <w:pStyle w:val="null5"/>
              <w:jc w:val="right"/>
            </w:pPr>
            <w:r>
              <w:rPr>
                <w:rFonts w:ascii="仿宋_GB2312" w:hAnsi="仿宋_GB2312" w:cs="仿宋_GB2312" w:eastAsia="仿宋_GB2312"/>
              </w:rPr>
              <w:t>4,000.00</w:t>
            </w:r>
          </w:p>
        </w:tc>
        <w:tc>
          <w:tcPr>
            <w:tcW w:type="dxa" w:w="831"/>
          </w:tcPr>
          <w:p>
            <w:pPr>
              <w:pStyle w:val="null5"/>
              <w:jc w:val="right"/>
            </w:pPr>
            <w:r>
              <w:rPr>
                <w:rFonts w:ascii="仿宋_GB2312" w:hAnsi="仿宋_GB2312" w:cs="仿宋_GB2312" w:eastAsia="仿宋_GB2312"/>
              </w:rPr>
              <w:t>1,920.00</w:t>
            </w:r>
          </w:p>
        </w:tc>
        <w:tc>
          <w:tcPr>
            <w:tcW w:type="dxa" w:w="831"/>
          </w:tcPr>
          <w:p>
            <w:pPr>
              <w:pStyle w:val="null5"/>
              <w:jc w:val="left"/>
            </w:pPr>
            <w:r>
              <w:rPr>
                <w:rFonts w:ascii="仿宋_GB2312" w:hAnsi="仿宋_GB2312" w:cs="仿宋_GB2312" w:eastAsia="仿宋_GB2312"/>
              </w:rPr>
              <w:t>毫升</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口蹄疫O型、A型二价灭活疫苗</w:t>
            </w:r>
          </w:p>
        </w:tc>
        <w:tc>
          <w:tcPr>
            <w:tcW w:type="dxa" w:w="831"/>
          </w:tcPr>
          <w:p>
            <w:pPr>
              <w:pStyle w:val="null5"/>
              <w:jc w:val="right"/>
            </w:pPr>
            <w:r>
              <w:rPr>
                <w:rFonts w:ascii="仿宋_GB2312" w:hAnsi="仿宋_GB2312" w:cs="仿宋_GB2312" w:eastAsia="仿宋_GB2312"/>
              </w:rPr>
              <w:t>650,000.00</w:t>
            </w:r>
          </w:p>
        </w:tc>
        <w:tc>
          <w:tcPr>
            <w:tcW w:type="dxa" w:w="831"/>
          </w:tcPr>
          <w:p>
            <w:pPr>
              <w:pStyle w:val="null5"/>
              <w:jc w:val="right"/>
            </w:pPr>
            <w:r>
              <w:rPr>
                <w:rFonts w:ascii="仿宋_GB2312" w:hAnsi="仿宋_GB2312" w:cs="仿宋_GB2312" w:eastAsia="仿宋_GB2312"/>
              </w:rPr>
              <w:t>325,000.00</w:t>
            </w:r>
          </w:p>
        </w:tc>
        <w:tc>
          <w:tcPr>
            <w:tcW w:type="dxa" w:w="831"/>
          </w:tcPr>
          <w:p>
            <w:pPr>
              <w:pStyle w:val="null5"/>
              <w:jc w:val="left"/>
            </w:pPr>
            <w:r>
              <w:rPr>
                <w:rFonts w:ascii="仿宋_GB2312" w:hAnsi="仿宋_GB2312" w:cs="仿宋_GB2312" w:eastAsia="仿宋_GB2312"/>
              </w:rPr>
              <w:t>毫升</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小反刍兽疫疫苗</w:t>
            </w:r>
          </w:p>
        </w:tc>
        <w:tc>
          <w:tcPr>
            <w:tcW w:type="dxa" w:w="831"/>
          </w:tcPr>
          <w:p>
            <w:pPr>
              <w:pStyle w:val="null5"/>
              <w:jc w:val="right"/>
            </w:pPr>
            <w:r>
              <w:rPr>
                <w:rFonts w:ascii="仿宋_GB2312" w:hAnsi="仿宋_GB2312" w:cs="仿宋_GB2312" w:eastAsia="仿宋_GB2312"/>
              </w:rPr>
              <w:t>50,000.00</w:t>
            </w:r>
          </w:p>
        </w:tc>
        <w:tc>
          <w:tcPr>
            <w:tcW w:type="dxa" w:w="831"/>
          </w:tcPr>
          <w:p>
            <w:pPr>
              <w:pStyle w:val="null5"/>
              <w:jc w:val="right"/>
            </w:pPr>
            <w:r>
              <w:rPr>
                <w:rFonts w:ascii="仿宋_GB2312" w:hAnsi="仿宋_GB2312" w:cs="仿宋_GB2312" w:eastAsia="仿宋_GB2312"/>
              </w:rPr>
              <w:t>15,000.00</w:t>
            </w:r>
          </w:p>
        </w:tc>
        <w:tc>
          <w:tcPr>
            <w:tcW w:type="dxa" w:w="831"/>
          </w:tcPr>
          <w:p>
            <w:pPr>
              <w:pStyle w:val="null5"/>
              <w:jc w:val="left"/>
            </w:pPr>
            <w:r>
              <w:rPr>
                <w:rFonts w:ascii="仿宋_GB2312" w:hAnsi="仿宋_GB2312" w:cs="仿宋_GB2312" w:eastAsia="仿宋_GB2312"/>
              </w:rPr>
              <w:t>头份</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高致病性繁殖与呼吸综合征活疫苗</w:t>
            </w:r>
          </w:p>
        </w:tc>
        <w:tc>
          <w:tcPr>
            <w:tcW w:type="dxa" w:w="831"/>
          </w:tcPr>
          <w:p>
            <w:pPr>
              <w:pStyle w:val="null5"/>
              <w:jc w:val="right"/>
            </w:pPr>
            <w:r>
              <w:rPr>
                <w:rFonts w:ascii="仿宋_GB2312" w:hAnsi="仿宋_GB2312" w:cs="仿宋_GB2312" w:eastAsia="仿宋_GB2312"/>
              </w:rPr>
              <w:t>100,000.00</w:t>
            </w:r>
          </w:p>
        </w:tc>
        <w:tc>
          <w:tcPr>
            <w:tcW w:type="dxa" w:w="831"/>
          </w:tcPr>
          <w:p>
            <w:pPr>
              <w:pStyle w:val="null5"/>
              <w:jc w:val="right"/>
            </w:pPr>
            <w:r>
              <w:rPr>
                <w:rFonts w:ascii="仿宋_GB2312" w:hAnsi="仿宋_GB2312" w:cs="仿宋_GB2312" w:eastAsia="仿宋_GB2312"/>
              </w:rPr>
              <w:t>160,000.00</w:t>
            </w:r>
          </w:p>
        </w:tc>
        <w:tc>
          <w:tcPr>
            <w:tcW w:type="dxa" w:w="831"/>
          </w:tcPr>
          <w:p>
            <w:pPr>
              <w:pStyle w:val="null5"/>
              <w:jc w:val="left"/>
            </w:pPr>
            <w:r>
              <w:rPr>
                <w:rFonts w:ascii="仿宋_GB2312" w:hAnsi="仿宋_GB2312" w:cs="仿宋_GB2312" w:eastAsia="仿宋_GB2312"/>
              </w:rPr>
              <w:t>头份</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要求：供应商为生产企业的需提供兽药GMP证书、生产许可证（猪瘟生产企业需含猪瘟活疫苗（兔源）生产线、试剂厂家须含诊断制品生产线）及为采购方提供诊断技术支持的承诺函原件扫描件；若供应商为非投标产品的生产企业需提供兽药经营许可证及相应产品生产企业加盖公章的兽药GMP证书、生产许可证（猪瘟生产企业需含猪瘟活疫苗（兔源）生产线、试剂厂家须含诊断制品生产线）扫描件及为采购方提供诊断技术支持的承诺函原件扫描件。</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内蒙古泽川工程项目管理有限公司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内蒙古自治区兴安盟乌兰浩特市君御华庭二期2-2门市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马艳飞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0482-8222299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科尔沁右翼中旗动物疫病预防控制中心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科右中旗农科局办公楼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秋兰</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15034884601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代理服务费收费标准：参考《内蒙古自治区建设工程招标代理服务收费指导意见》内工建协〔2022〕34号文件的规定收取采购代理服务费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科尔沁右翼中旗动物疫病预防控制中心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内蒙古泽川工程项目管理有限公司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资格要求</w:t>
            </w:r>
          </w:p>
        </w:tc>
        <w:tc>
          <w:tcPr>
            <w:tcW w:type="dxa" w:w="4984"/>
          </w:tcPr>
          <w:p>
            <w:pPr>
              <w:pStyle w:val="null5"/>
              <w:jc w:val="left"/>
            </w:pPr>
            <w:r>
              <w:rPr>
                <w:rFonts w:ascii="仿宋_GB2312" w:hAnsi="仿宋_GB2312" w:cs="仿宋_GB2312" w:eastAsia="仿宋_GB2312"/>
              </w:rPr>
              <w:t>供应商为生产企业的需提供兽药GMP证书、生产许可证（猪瘟生产企业需含猪瘟活疫苗（兔源）生产线、试剂厂家须含诊断制品生产线）及为采购方提供诊断技术支持的承诺函原件扫描件；若供应商为非投标产品的生产企业需提供兽药经营许可证及相应产品生产企业加盖公章的兽药GMP证书、生产许可证（猪瘟生产企业需含猪瘟活疫苗（兔源）生产线、试剂厂家须含诊断制品生产线）扫描件及为采购方提供诊断技术支持的承诺函原件扫描件。</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采购免疫疫苗</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签订合同后1个月内或按甲方要求。</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科尔沁右翼中旗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1、签订合同后支付，达到付款条件起15日，支付合同总金额的39.61%</w:t>
            </w:r>
          </w:p>
          <w:p>
            <w:pPr>
              <w:pStyle w:val="null5"/>
              <w:jc w:val="left"/>
            </w:pPr>
            <w:r>
              <w:rPr>
                <w:rFonts w:ascii="仿宋_GB2312" w:hAnsi="仿宋_GB2312" w:cs="仿宋_GB2312" w:eastAsia="仿宋_GB2312"/>
              </w:rPr>
              <w:t>2、验收合格后支付，达到付款条件起15日，支付合同总金额的60.39%</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标的名称：Ⅱ号炭疽芽孢疫苗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w:t>
            </w:r>
            <w:r>
              <w:rPr>
                <w:rFonts w:ascii="仿宋_GB2312" w:hAnsi="仿宋_GB2312" w:cs="仿宋_GB2312" w:eastAsia="仿宋_GB2312"/>
                <w:sz w:val="22"/>
                <w:color w:val="000000"/>
              </w:rPr>
              <w:t>包装</w:t>
            </w:r>
            <w:r>
              <w:rPr>
                <w:rFonts w:ascii="仿宋_GB2312" w:hAnsi="仿宋_GB2312" w:cs="仿宋_GB2312" w:eastAsia="仿宋_GB2312"/>
                <w:sz w:val="22"/>
                <w:color w:val="000000"/>
              </w:rPr>
              <w:t>100毫升/瓶；</w:t>
            </w:r>
          </w:p>
          <w:p>
            <w:pPr>
              <w:pStyle w:val="null5"/>
              <w:jc w:val="both"/>
            </w:pPr>
            <w:r>
              <w:rPr>
                <w:rFonts w:ascii="仿宋_GB2312" w:hAnsi="仿宋_GB2312" w:cs="仿宋_GB2312" w:eastAsia="仿宋_GB2312"/>
                <w:sz w:val="24"/>
              </w:rPr>
              <w:t>2</w:t>
            </w:r>
            <w:r>
              <w:rPr>
                <w:rFonts w:ascii="仿宋_GB2312" w:hAnsi="仿宋_GB2312" w:cs="仿宋_GB2312" w:eastAsia="仿宋_GB2312"/>
                <w:sz w:val="22"/>
                <w:color w:val="000000"/>
              </w:rPr>
              <w:t>、</w:t>
            </w:r>
            <w:r>
              <w:rPr>
                <w:rFonts w:ascii="仿宋_GB2312" w:hAnsi="仿宋_GB2312" w:cs="仿宋_GB2312" w:eastAsia="仿宋_GB2312"/>
                <w:sz w:val="21"/>
                <w:color w:val="000000"/>
              </w:rPr>
              <w:t>●</w:t>
            </w:r>
            <w:r>
              <w:rPr>
                <w:rFonts w:ascii="仿宋_GB2312" w:hAnsi="仿宋_GB2312" w:cs="仿宋_GB2312" w:eastAsia="仿宋_GB2312"/>
                <w:sz w:val="22"/>
                <w:color w:val="000000"/>
              </w:rPr>
              <w:t>含炭疽杆菌</w:t>
            </w:r>
            <w:r>
              <w:rPr>
                <w:rFonts w:ascii="仿宋_GB2312" w:hAnsi="仿宋_GB2312" w:cs="仿宋_GB2312" w:eastAsia="仿宋_GB2312"/>
                <w:sz w:val="22"/>
                <w:color w:val="000000"/>
              </w:rPr>
              <w:t>II号菌株（CVCC40202）,甘油苗每毫升活菌数为1.3×10</w:t>
            </w:r>
            <w:r>
              <w:rPr>
                <w:rFonts w:ascii="仿宋_GB2312" w:hAnsi="仿宋_GB2312" w:cs="仿宋_GB2312" w:eastAsia="仿宋_GB2312"/>
                <w:sz w:val="22"/>
                <w:color w:val="000000"/>
                <w:vertAlign w:val="superscript"/>
              </w:rPr>
              <w:t>7.0</w:t>
            </w:r>
            <w:r>
              <w:rPr>
                <w:rFonts w:ascii="仿宋_GB2312" w:hAnsi="仿宋_GB2312" w:cs="仿宋_GB2312" w:eastAsia="仿宋_GB2312"/>
                <w:sz w:val="22"/>
                <w:color w:val="000000"/>
              </w:rPr>
              <w:t>～</w:t>
            </w:r>
            <w:r>
              <w:rPr>
                <w:rFonts w:ascii="仿宋_GB2312" w:hAnsi="仿宋_GB2312" w:cs="仿宋_GB2312" w:eastAsia="仿宋_GB2312"/>
                <w:sz w:val="22"/>
                <w:color w:val="000000"/>
              </w:rPr>
              <w:t>2.0×10</w:t>
            </w:r>
            <w:r>
              <w:rPr>
                <w:rFonts w:ascii="仿宋_GB2312" w:hAnsi="仿宋_GB2312" w:cs="仿宋_GB2312" w:eastAsia="仿宋_GB2312"/>
                <w:sz w:val="22"/>
                <w:color w:val="000000"/>
                <w:vertAlign w:val="superscript"/>
              </w:rPr>
              <w:t>7.0</w:t>
            </w:r>
            <w:r>
              <w:rPr>
                <w:rFonts w:ascii="仿宋_GB2312" w:hAnsi="仿宋_GB2312" w:cs="仿宋_GB2312" w:eastAsia="仿宋_GB2312"/>
                <w:sz w:val="22"/>
                <w:color w:val="000000"/>
              </w:rPr>
              <w:t>CFU，氢氧化铝胶苗每毫升活菌数为2.0×10</w:t>
            </w:r>
            <w:r>
              <w:rPr>
                <w:rFonts w:ascii="仿宋_GB2312" w:hAnsi="仿宋_GB2312" w:cs="仿宋_GB2312" w:eastAsia="仿宋_GB2312"/>
                <w:sz w:val="22"/>
                <w:color w:val="000000"/>
                <w:vertAlign w:val="superscript"/>
              </w:rPr>
              <w:t>7.0</w:t>
            </w:r>
            <w:r>
              <w:rPr>
                <w:rFonts w:ascii="仿宋_GB2312" w:hAnsi="仿宋_GB2312" w:cs="仿宋_GB2312" w:eastAsia="仿宋_GB2312"/>
                <w:sz w:val="22"/>
                <w:color w:val="000000"/>
              </w:rPr>
              <w:t>～</w:t>
            </w:r>
            <w:r>
              <w:rPr>
                <w:rFonts w:ascii="仿宋_GB2312" w:hAnsi="仿宋_GB2312" w:cs="仿宋_GB2312" w:eastAsia="仿宋_GB2312"/>
                <w:sz w:val="22"/>
                <w:color w:val="000000"/>
              </w:rPr>
              <w:t>3.0×10</w:t>
            </w:r>
            <w:r>
              <w:rPr>
                <w:rFonts w:ascii="仿宋_GB2312" w:hAnsi="仿宋_GB2312" w:cs="仿宋_GB2312" w:eastAsia="仿宋_GB2312"/>
                <w:sz w:val="22"/>
                <w:color w:val="000000"/>
                <w:vertAlign w:val="superscript"/>
              </w:rPr>
              <w:t>7.0</w:t>
            </w:r>
            <w:r>
              <w:rPr>
                <w:rFonts w:ascii="仿宋_GB2312" w:hAnsi="仿宋_GB2312" w:cs="仿宋_GB2312" w:eastAsia="仿宋_GB2312"/>
                <w:sz w:val="22"/>
                <w:color w:val="000000"/>
              </w:rPr>
              <w:t>CFU，需在投标文件内提供生产厂家符合以上含量参数的批签发报告及针对本项目的免疫失败及副反应处理承诺书原件扫描件；</w:t>
            </w:r>
          </w:p>
          <w:p>
            <w:pPr>
              <w:pStyle w:val="null5"/>
              <w:jc w:val="both"/>
            </w:pPr>
            <w:r>
              <w:rPr>
                <w:rFonts w:ascii="仿宋_GB2312" w:hAnsi="仿宋_GB2312" w:cs="仿宋_GB2312" w:eastAsia="仿宋_GB2312"/>
                <w:sz w:val="24"/>
              </w:rPr>
              <w:t>3、</w:t>
            </w:r>
            <w:r>
              <w:rPr>
                <w:rFonts w:ascii="仿宋_GB2312" w:hAnsi="仿宋_GB2312" w:cs="仿宋_GB2312" w:eastAsia="仿宋_GB2312"/>
                <w:sz w:val="22"/>
                <w:color w:val="000000"/>
              </w:rPr>
              <w:t>山羊免疫期为</w:t>
            </w:r>
            <w:r>
              <w:rPr>
                <w:rFonts w:ascii="仿宋_GB2312" w:hAnsi="仿宋_GB2312" w:cs="仿宋_GB2312" w:eastAsia="仿宋_GB2312"/>
                <w:sz w:val="22"/>
                <w:color w:val="000000"/>
              </w:rPr>
              <w:t>6个月，其他动物为1年；</w:t>
            </w:r>
          </w:p>
          <w:p>
            <w:pPr>
              <w:pStyle w:val="null5"/>
              <w:jc w:val="both"/>
            </w:pPr>
            <w:r>
              <w:rPr>
                <w:rFonts w:ascii="仿宋_GB2312" w:hAnsi="仿宋_GB2312" w:cs="仿宋_GB2312" w:eastAsia="仿宋_GB2312"/>
                <w:sz w:val="24"/>
              </w:rPr>
              <w:t>4、</w:t>
            </w:r>
            <w:r>
              <w:rPr>
                <w:rFonts w:ascii="仿宋_GB2312" w:hAnsi="仿宋_GB2312" w:cs="仿宋_GB2312" w:eastAsia="仿宋_GB2312"/>
                <w:sz w:val="22"/>
                <w:color w:val="000000"/>
              </w:rPr>
              <w:t>在</w:t>
            </w:r>
            <w:r>
              <w:rPr>
                <w:rFonts w:ascii="仿宋_GB2312" w:hAnsi="仿宋_GB2312" w:cs="仿宋_GB2312" w:eastAsia="仿宋_GB2312"/>
                <w:sz w:val="22"/>
                <w:color w:val="000000"/>
              </w:rPr>
              <w:t>2～8℃保存，有效期2年；</w:t>
            </w:r>
            <w:r>
              <w:rPr>
                <w:rFonts w:ascii="仿宋_GB2312" w:hAnsi="仿宋_GB2312" w:cs="仿宋_GB2312" w:eastAsia="仿宋_GB2312"/>
                <w:sz w:val="22"/>
                <w:color w:val="000000"/>
              </w:rPr>
              <w:t>交货时有效期在</w:t>
            </w:r>
            <w:r>
              <w:rPr>
                <w:rFonts w:ascii="仿宋_GB2312" w:hAnsi="仿宋_GB2312" w:cs="仿宋_GB2312" w:eastAsia="仿宋_GB2312"/>
                <w:sz w:val="22"/>
                <w:color w:val="000000"/>
              </w:rPr>
              <w:t>10个月</w:t>
            </w:r>
            <w:r>
              <w:rPr>
                <w:rFonts w:ascii="仿宋_GB2312" w:hAnsi="仿宋_GB2312" w:cs="仿宋_GB2312" w:eastAsia="仿宋_GB2312"/>
                <w:sz w:val="22"/>
                <w:color w:val="000000"/>
              </w:rPr>
              <w:t>以上。</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标的名称：猪瘟耐热保护剂活疫苗（兔源）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w:t>
            </w:r>
            <w:r>
              <w:rPr>
                <w:rFonts w:ascii="仿宋_GB2312" w:hAnsi="仿宋_GB2312" w:cs="仿宋_GB2312" w:eastAsia="仿宋_GB2312"/>
                <w:sz w:val="22"/>
                <w:color w:val="000000"/>
              </w:rPr>
              <w:t>包装</w:t>
            </w:r>
            <w:r>
              <w:rPr>
                <w:rFonts w:ascii="仿宋_GB2312" w:hAnsi="仿宋_GB2312" w:cs="仿宋_GB2312" w:eastAsia="仿宋_GB2312"/>
                <w:sz w:val="22"/>
                <w:color w:val="000000"/>
              </w:rPr>
              <w:t>10、20头份/瓶含稀释液；</w:t>
            </w:r>
          </w:p>
          <w:p>
            <w:pPr>
              <w:pStyle w:val="null5"/>
              <w:jc w:val="both"/>
            </w:pP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每头份病毒含量</w:t>
            </w:r>
            <w:r>
              <w:rPr>
                <w:rFonts w:ascii="仿宋_GB2312" w:hAnsi="仿宋_GB2312" w:cs="仿宋_GB2312" w:eastAsia="仿宋_GB2312"/>
                <w:sz w:val="22"/>
                <w:color w:val="000000"/>
              </w:rPr>
              <w:t>≥750RID</w:t>
            </w:r>
            <w:r>
              <w:rPr>
                <w:rFonts w:ascii="仿宋_GB2312" w:hAnsi="仿宋_GB2312" w:cs="仿宋_GB2312" w:eastAsia="仿宋_GB2312"/>
                <w:sz w:val="22"/>
                <w:color w:val="000000"/>
              </w:rPr>
              <w:t>，</w:t>
            </w:r>
            <w:r>
              <w:rPr>
                <w:rFonts w:ascii="仿宋_GB2312" w:hAnsi="仿宋_GB2312" w:cs="仿宋_GB2312" w:eastAsia="仿宋_GB2312"/>
                <w:sz w:val="22"/>
                <w:color w:val="000000"/>
              </w:rPr>
              <w:t>需在投标文件内提供生产厂家符合以上含量参数的批签发报告及针对本项目的免疫失败及副反应处理承诺书原件扫描件；</w:t>
            </w:r>
          </w:p>
          <w:p>
            <w:pPr>
              <w:pStyle w:val="null5"/>
              <w:jc w:val="both"/>
            </w:pPr>
            <w:r>
              <w:rPr>
                <w:rFonts w:ascii="仿宋_GB2312" w:hAnsi="仿宋_GB2312" w:cs="仿宋_GB2312" w:eastAsia="仿宋_GB2312"/>
                <w:sz w:val="24"/>
              </w:rPr>
              <w:t>3、</w:t>
            </w:r>
            <w:r>
              <w:rPr>
                <w:rFonts w:ascii="仿宋_GB2312" w:hAnsi="仿宋_GB2312" w:cs="仿宋_GB2312" w:eastAsia="仿宋_GB2312"/>
                <w:sz w:val="22"/>
                <w:color w:val="000000"/>
              </w:rPr>
              <w:t>在</w:t>
            </w:r>
            <w:r>
              <w:rPr>
                <w:rFonts w:ascii="仿宋_GB2312" w:hAnsi="仿宋_GB2312" w:cs="仿宋_GB2312" w:eastAsia="仿宋_GB2312"/>
                <w:sz w:val="22"/>
                <w:color w:val="000000"/>
              </w:rPr>
              <w:t>2～8℃保存，有效期24个月；</w:t>
            </w:r>
            <w:r>
              <w:rPr>
                <w:rFonts w:ascii="仿宋_GB2312" w:hAnsi="仿宋_GB2312" w:cs="仿宋_GB2312" w:eastAsia="仿宋_GB2312"/>
                <w:sz w:val="22"/>
                <w:color w:val="000000"/>
              </w:rPr>
              <w:t>交货</w:t>
            </w:r>
            <w:r>
              <w:rPr>
                <w:rFonts w:ascii="仿宋_GB2312" w:hAnsi="仿宋_GB2312" w:cs="仿宋_GB2312" w:eastAsia="仿宋_GB2312"/>
                <w:sz w:val="22"/>
                <w:color w:val="000000"/>
              </w:rPr>
              <w:t>时有效期在</w:t>
            </w:r>
            <w:r>
              <w:rPr>
                <w:rFonts w:ascii="仿宋_GB2312" w:hAnsi="仿宋_GB2312" w:cs="仿宋_GB2312" w:eastAsia="仿宋_GB2312"/>
                <w:sz w:val="22"/>
                <w:color w:val="000000"/>
              </w:rPr>
              <w:t>21个月以上；</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2"/>
                <w:color w:val="000000"/>
              </w:rPr>
              <w:t>配套提供相应生产的猪瘟检测试剂，规格数量：</w:t>
            </w:r>
            <w:r>
              <w:rPr>
                <w:rFonts w:ascii="仿宋_GB2312" w:hAnsi="仿宋_GB2312" w:cs="仿宋_GB2312" w:eastAsia="仿宋_GB2312"/>
                <w:sz w:val="22"/>
                <w:color w:val="000000"/>
              </w:rPr>
              <w:t>96T*2，采用PPA-ELISA方法，</w:t>
            </w:r>
            <w:r>
              <w:rPr>
                <w:rFonts w:ascii="仿宋_GB2312" w:hAnsi="仿宋_GB2312" w:cs="仿宋_GB2312" w:eastAsia="仿宋_GB2312"/>
                <w:sz w:val="22"/>
                <w:color w:val="000000"/>
              </w:rPr>
              <w:t>每一步反应时间不得高于</w:t>
            </w:r>
            <w:r>
              <w:rPr>
                <w:rFonts w:ascii="仿宋_GB2312" w:hAnsi="仿宋_GB2312" w:cs="仿宋_GB2312" w:eastAsia="仿宋_GB2312"/>
                <w:sz w:val="22"/>
                <w:color w:val="000000"/>
              </w:rPr>
              <w:t>30分钟，</w:t>
            </w:r>
            <w:r>
              <w:rPr>
                <w:rFonts w:ascii="仿宋_GB2312" w:hAnsi="仿宋_GB2312" w:cs="仿宋_GB2312" w:eastAsia="仿宋_GB2312"/>
                <w:sz w:val="22"/>
                <w:color w:val="000000"/>
              </w:rPr>
              <w:t>试验结果阴阳性对照成立，提供试剂产品图片及供货产品二维码图片。</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标的名称：羊快疫、猝疽(羔羊痢疾)、肠毒血症三联四防疫苗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w:t>
            </w:r>
            <w:r>
              <w:rPr>
                <w:rFonts w:ascii="仿宋_GB2312" w:hAnsi="仿宋_GB2312" w:cs="仿宋_GB2312" w:eastAsia="仿宋_GB2312"/>
                <w:sz w:val="22"/>
                <w:color w:val="000000"/>
              </w:rPr>
              <w:t>包装</w:t>
            </w:r>
            <w:r>
              <w:rPr>
                <w:rFonts w:ascii="仿宋_GB2312" w:hAnsi="仿宋_GB2312" w:cs="仿宋_GB2312" w:eastAsia="仿宋_GB2312"/>
                <w:sz w:val="22"/>
                <w:color w:val="000000"/>
              </w:rPr>
              <w:t>20头份或100头份/瓶，用于预防羊快疫、猝疽(羔羊痢疾)、肠毒血症；免疫期12个月；</w:t>
            </w:r>
          </w:p>
          <w:p>
            <w:pPr>
              <w:pStyle w:val="null5"/>
              <w:jc w:val="both"/>
            </w:pPr>
            <w:r>
              <w:rPr>
                <w:rFonts w:ascii="仿宋_GB2312" w:hAnsi="仿宋_GB2312" w:cs="仿宋_GB2312" w:eastAsia="仿宋_GB2312"/>
                <w:sz w:val="24"/>
              </w:rPr>
              <w:t>2、</w:t>
            </w:r>
            <w:r>
              <w:rPr>
                <w:rFonts w:ascii="仿宋_GB2312" w:hAnsi="仿宋_GB2312" w:cs="仿宋_GB2312" w:eastAsia="仿宋_GB2312"/>
                <w:sz w:val="22"/>
                <w:color w:val="000000"/>
              </w:rPr>
              <w:t>交货时有效期在</w:t>
            </w:r>
            <w:r>
              <w:rPr>
                <w:rFonts w:ascii="仿宋_GB2312" w:hAnsi="仿宋_GB2312" w:cs="仿宋_GB2312" w:eastAsia="仿宋_GB2312"/>
                <w:sz w:val="22"/>
                <w:color w:val="000000"/>
              </w:rPr>
              <w:t>10个月以上；</w:t>
            </w:r>
          </w:p>
          <w:p>
            <w:pPr>
              <w:pStyle w:val="null5"/>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2"/>
                <w:color w:val="000000"/>
              </w:rPr>
              <w:t>需在投标文件内提供生产厂家符合以上参数的批签发报告及针对本项目的免疫失败及副反应处理承诺书原件扫描件。</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标的名称：山羊痘活疫苗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w:t>
            </w:r>
            <w:r>
              <w:rPr>
                <w:rFonts w:ascii="仿宋_GB2312" w:hAnsi="仿宋_GB2312" w:cs="仿宋_GB2312" w:eastAsia="仿宋_GB2312"/>
                <w:sz w:val="22"/>
                <w:color w:val="000000"/>
              </w:rPr>
              <w:t>包装</w:t>
            </w:r>
            <w:r>
              <w:rPr>
                <w:rFonts w:ascii="仿宋_GB2312" w:hAnsi="仿宋_GB2312" w:cs="仿宋_GB2312" w:eastAsia="仿宋_GB2312"/>
                <w:sz w:val="22"/>
                <w:color w:val="000000"/>
              </w:rPr>
              <w:t>100头份/瓶；</w:t>
            </w:r>
          </w:p>
          <w:p>
            <w:pPr>
              <w:pStyle w:val="null5"/>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2"/>
                <w:color w:val="000000"/>
              </w:rPr>
              <w:t>每头份病毒含量不低于</w:t>
            </w:r>
            <w:r>
              <w:rPr>
                <w:rFonts w:ascii="仿宋_GB2312" w:hAnsi="仿宋_GB2312" w:cs="仿宋_GB2312" w:eastAsia="仿宋_GB2312"/>
                <w:sz w:val="22"/>
                <w:color w:val="000000"/>
              </w:rPr>
              <w:t>10</w:t>
            </w:r>
            <w:r>
              <w:rPr>
                <w:rFonts w:ascii="仿宋_GB2312" w:hAnsi="仿宋_GB2312" w:cs="仿宋_GB2312" w:eastAsia="仿宋_GB2312"/>
                <w:sz w:val="22"/>
                <w:color w:val="000000"/>
                <w:vertAlign w:val="superscript"/>
              </w:rPr>
              <w:t>4.5</w:t>
            </w:r>
            <w:r>
              <w:rPr>
                <w:rFonts w:ascii="仿宋_GB2312" w:hAnsi="仿宋_GB2312" w:cs="仿宋_GB2312" w:eastAsia="仿宋_GB2312"/>
                <w:sz w:val="22"/>
                <w:color w:val="000000"/>
              </w:rPr>
              <w:t>TCID</w:t>
            </w:r>
            <w:r>
              <w:rPr>
                <w:rFonts w:ascii="仿宋_GB2312" w:hAnsi="仿宋_GB2312" w:cs="仿宋_GB2312" w:eastAsia="仿宋_GB2312"/>
                <w:sz w:val="22"/>
                <w:color w:val="000000"/>
                <w:vertAlign w:val="subscript"/>
              </w:rPr>
              <w:t>50</w:t>
            </w:r>
            <w:r>
              <w:rPr>
                <w:rFonts w:ascii="仿宋_GB2312" w:hAnsi="仿宋_GB2312" w:cs="仿宋_GB2312" w:eastAsia="仿宋_GB2312"/>
                <w:sz w:val="22"/>
                <w:color w:val="000000"/>
              </w:rPr>
              <w:t>，需在投标文件内提供生产厂家符合以上含量参数的批签发报告及针对本项目的免疫失败及副反应处理承诺书原件扫描件；</w:t>
            </w:r>
          </w:p>
          <w:p>
            <w:pPr>
              <w:pStyle w:val="null5"/>
              <w:jc w:val="both"/>
            </w:pPr>
            <w:r>
              <w:rPr>
                <w:rFonts w:ascii="仿宋_GB2312" w:hAnsi="仿宋_GB2312" w:cs="仿宋_GB2312" w:eastAsia="仿宋_GB2312"/>
                <w:sz w:val="24"/>
              </w:rPr>
              <w:t>3、</w:t>
            </w:r>
            <w:r>
              <w:rPr>
                <w:rFonts w:ascii="仿宋_GB2312" w:hAnsi="仿宋_GB2312" w:cs="仿宋_GB2312" w:eastAsia="仿宋_GB2312"/>
                <w:sz w:val="22"/>
                <w:color w:val="000000"/>
              </w:rPr>
              <w:t>注苗后</w:t>
            </w:r>
            <w:r>
              <w:rPr>
                <w:rFonts w:ascii="仿宋_GB2312" w:hAnsi="仿宋_GB2312" w:cs="仿宋_GB2312" w:eastAsia="仿宋_GB2312"/>
                <w:sz w:val="22"/>
                <w:color w:val="000000"/>
              </w:rPr>
              <w:t>4～5日产生免疫力，免疫期为12个月；</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2"/>
                <w:color w:val="000000"/>
              </w:rPr>
              <w:t>使用耐热保护剂技术，</w:t>
            </w:r>
            <w:r>
              <w:rPr>
                <w:rFonts w:ascii="仿宋_GB2312" w:hAnsi="仿宋_GB2312" w:cs="仿宋_GB2312" w:eastAsia="仿宋_GB2312"/>
                <w:sz w:val="22"/>
                <w:color w:val="000000"/>
              </w:rPr>
              <w:t>2～8℃保存，有效期18个月，交货时有效期在10个月以上；</w:t>
            </w:r>
          </w:p>
          <w:p>
            <w:pPr>
              <w:pStyle w:val="null5"/>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2"/>
                <w:color w:val="000000"/>
              </w:rPr>
              <w:t>配套提供相应生产的牛结节性皮肤病抗体荧光微球检测试剂盒，能特异性检测牛结节抗体；</w:t>
            </w:r>
            <w:r>
              <w:rPr>
                <w:rFonts w:ascii="仿宋_GB2312" w:hAnsi="仿宋_GB2312" w:cs="仿宋_GB2312" w:eastAsia="仿宋_GB2312"/>
                <w:sz w:val="22"/>
                <w:color w:val="000000"/>
              </w:rPr>
              <w:t>规格数量：</w:t>
            </w:r>
            <w:r>
              <w:rPr>
                <w:rFonts w:ascii="仿宋_GB2312" w:hAnsi="仿宋_GB2312" w:cs="仿宋_GB2312" w:eastAsia="仿宋_GB2312"/>
                <w:sz w:val="22"/>
                <w:color w:val="000000"/>
              </w:rPr>
              <w:t>96T*2，实验操作时间短，每一步反应时间不得高于30分钟，试验结果阴阳性对照成立，结果易于判定；提供试剂产品</w:t>
            </w:r>
            <w:r>
              <w:rPr>
                <w:rFonts w:ascii="仿宋_GB2312" w:hAnsi="仿宋_GB2312" w:cs="仿宋_GB2312" w:eastAsia="仿宋_GB2312"/>
                <w:sz w:val="22"/>
                <w:color w:val="000000"/>
              </w:rPr>
              <w:t>图片及供货产品二维码图片。</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标的名称：鸡新城疫耐热保护剂活疫苗（La Sota株）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2"/>
                <w:color w:val="000000"/>
              </w:rPr>
              <w:t>包装</w:t>
            </w:r>
            <w:r>
              <w:rPr>
                <w:rFonts w:ascii="仿宋_GB2312" w:hAnsi="仿宋_GB2312" w:cs="仿宋_GB2312" w:eastAsia="仿宋_GB2312"/>
                <w:sz w:val="22"/>
                <w:color w:val="000000"/>
              </w:rPr>
              <w:t>500羽/瓶，每羽份病毒含量≥10</w:t>
            </w:r>
            <w:r>
              <w:rPr>
                <w:rFonts w:ascii="仿宋_GB2312" w:hAnsi="仿宋_GB2312" w:cs="仿宋_GB2312" w:eastAsia="仿宋_GB2312"/>
                <w:sz w:val="22"/>
                <w:color w:val="000000"/>
                <w:vertAlign w:val="superscript"/>
              </w:rPr>
              <w:t>6.0</w:t>
            </w:r>
            <w:r>
              <w:rPr>
                <w:rFonts w:ascii="仿宋_GB2312" w:hAnsi="仿宋_GB2312" w:cs="仿宋_GB2312" w:eastAsia="仿宋_GB2312"/>
                <w:sz w:val="22"/>
                <w:color w:val="000000"/>
              </w:rPr>
              <w:t>EID</w:t>
            </w:r>
            <w:r>
              <w:rPr>
                <w:rFonts w:ascii="仿宋_GB2312" w:hAnsi="仿宋_GB2312" w:cs="仿宋_GB2312" w:eastAsia="仿宋_GB2312"/>
                <w:sz w:val="22"/>
                <w:color w:val="000000"/>
                <w:vertAlign w:val="subscript"/>
              </w:rPr>
              <w:t>50</w:t>
            </w:r>
            <w:r>
              <w:rPr>
                <w:rFonts w:ascii="仿宋_GB2312" w:hAnsi="仿宋_GB2312" w:cs="仿宋_GB2312" w:eastAsia="仿宋_GB2312"/>
                <w:sz w:val="22"/>
                <w:color w:val="000000"/>
              </w:rPr>
              <w:t>，需在投标文件内提供生产厂家符合以上含量参数的批签发报告及针对本项目的免疫失败及副反应处理承诺书原件扫描件；</w:t>
            </w:r>
          </w:p>
          <w:p>
            <w:pPr>
              <w:pStyle w:val="null5"/>
              <w:jc w:val="both"/>
            </w:pPr>
            <w:r>
              <w:rPr>
                <w:rFonts w:ascii="仿宋_GB2312" w:hAnsi="仿宋_GB2312" w:cs="仿宋_GB2312" w:eastAsia="仿宋_GB2312"/>
                <w:sz w:val="24"/>
              </w:rPr>
              <w:t>2、</w:t>
            </w:r>
            <w:r>
              <w:rPr>
                <w:rFonts w:ascii="仿宋_GB2312" w:hAnsi="仿宋_GB2312" w:cs="仿宋_GB2312" w:eastAsia="仿宋_GB2312"/>
                <w:sz w:val="22"/>
                <w:color w:val="000000"/>
              </w:rPr>
              <w:t>在</w:t>
            </w:r>
            <w:r>
              <w:rPr>
                <w:rFonts w:ascii="仿宋_GB2312" w:hAnsi="仿宋_GB2312" w:cs="仿宋_GB2312" w:eastAsia="仿宋_GB2312"/>
                <w:sz w:val="22"/>
                <w:color w:val="000000"/>
              </w:rPr>
              <w:t>2～8℃保存有效期24个月；</w:t>
            </w:r>
          </w:p>
          <w:p>
            <w:pPr>
              <w:pStyle w:val="null5"/>
              <w:jc w:val="both"/>
            </w:pPr>
            <w:r>
              <w:rPr>
                <w:rFonts w:ascii="仿宋_GB2312" w:hAnsi="仿宋_GB2312" w:cs="仿宋_GB2312" w:eastAsia="仿宋_GB2312"/>
                <w:sz w:val="24"/>
              </w:rPr>
              <w:t>3、</w:t>
            </w:r>
            <w:r>
              <w:rPr>
                <w:rFonts w:ascii="仿宋_GB2312" w:hAnsi="仿宋_GB2312" w:cs="仿宋_GB2312" w:eastAsia="仿宋_GB2312"/>
                <w:sz w:val="22"/>
                <w:color w:val="000000"/>
              </w:rPr>
              <w:t>交货时有效期在</w:t>
            </w:r>
            <w:r>
              <w:rPr>
                <w:rFonts w:ascii="仿宋_GB2312" w:hAnsi="仿宋_GB2312" w:cs="仿宋_GB2312" w:eastAsia="仿宋_GB2312"/>
                <w:sz w:val="22"/>
                <w:color w:val="000000"/>
              </w:rPr>
              <w:t>20个月以上；</w:t>
            </w:r>
          </w:p>
          <w:p>
            <w:pPr>
              <w:pStyle w:val="null5"/>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2"/>
                <w:color w:val="000000"/>
              </w:rPr>
              <w:t>配套提供相应生产的新城疫抗原，规格数量：</w:t>
            </w:r>
            <w:r>
              <w:rPr>
                <w:rFonts w:ascii="仿宋_GB2312" w:hAnsi="仿宋_GB2312" w:cs="仿宋_GB2312" w:eastAsia="仿宋_GB2312"/>
                <w:sz w:val="22"/>
                <w:color w:val="000000"/>
              </w:rPr>
              <w:t>2ml/瓶*2，操作简便</w:t>
            </w:r>
            <w:r>
              <w:rPr>
                <w:rFonts w:ascii="仿宋_GB2312" w:hAnsi="仿宋_GB2312" w:cs="仿宋_GB2312" w:eastAsia="仿宋_GB2312"/>
                <w:sz w:val="22"/>
                <w:color w:val="000000"/>
              </w:rPr>
              <w:t>，每一步反应时间不超过</w:t>
            </w:r>
            <w:r>
              <w:rPr>
                <w:rFonts w:ascii="仿宋_GB2312" w:hAnsi="仿宋_GB2312" w:cs="仿宋_GB2312" w:eastAsia="仿宋_GB2312"/>
                <w:sz w:val="22"/>
                <w:color w:val="000000"/>
              </w:rPr>
              <w:t>80分钟</w:t>
            </w:r>
            <w:r>
              <w:rPr>
                <w:rFonts w:ascii="仿宋_GB2312" w:hAnsi="仿宋_GB2312" w:cs="仿宋_GB2312" w:eastAsia="仿宋_GB2312"/>
                <w:sz w:val="22"/>
                <w:color w:val="000000"/>
              </w:rPr>
              <w:t>，提供试剂产品图片、供货产品二维码图片。</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标的名称：气肿疽灭活疫苗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4"/>
              </w:rPr>
              <w:t>1、</w:t>
            </w:r>
            <w:r>
              <w:rPr>
                <w:rFonts w:ascii="仿宋_GB2312" w:hAnsi="仿宋_GB2312" w:cs="仿宋_GB2312" w:eastAsia="仿宋_GB2312"/>
                <w:sz w:val="22"/>
                <w:color w:val="000000"/>
              </w:rPr>
              <w:t>●包装为100毫升/瓶，需在投标文件内提供生产厂家符合以上参数的批签发报告及针对本项目的免疫失败及副反应处理承诺书原件扫描件；</w:t>
            </w:r>
          </w:p>
          <w:p>
            <w:pPr>
              <w:pStyle w:val="null5"/>
              <w:jc w:val="both"/>
            </w:pPr>
            <w:r>
              <w:rPr>
                <w:rFonts w:ascii="仿宋_GB2312" w:hAnsi="仿宋_GB2312" w:cs="仿宋_GB2312" w:eastAsia="仿宋_GB2312"/>
                <w:sz w:val="24"/>
              </w:rPr>
              <w:t>2、</w:t>
            </w:r>
            <w:r>
              <w:rPr>
                <w:rFonts w:ascii="仿宋_GB2312" w:hAnsi="仿宋_GB2312" w:cs="仿宋_GB2312" w:eastAsia="仿宋_GB2312"/>
                <w:sz w:val="22"/>
                <w:color w:val="000000"/>
              </w:rPr>
              <w:t>在</w:t>
            </w:r>
            <w:r>
              <w:rPr>
                <w:rFonts w:ascii="仿宋_GB2312" w:hAnsi="仿宋_GB2312" w:cs="仿宋_GB2312" w:eastAsia="仿宋_GB2312"/>
                <w:sz w:val="22"/>
                <w:color w:val="000000"/>
              </w:rPr>
              <w:t>2—8℃保存，有效期2年；</w:t>
            </w:r>
          </w:p>
          <w:p>
            <w:pPr>
              <w:pStyle w:val="null5"/>
              <w:jc w:val="both"/>
            </w:pPr>
            <w:r>
              <w:rPr>
                <w:rFonts w:ascii="仿宋_GB2312" w:hAnsi="仿宋_GB2312" w:cs="仿宋_GB2312" w:eastAsia="仿宋_GB2312"/>
                <w:sz w:val="24"/>
              </w:rPr>
              <w:t>3、</w:t>
            </w:r>
            <w:r>
              <w:rPr>
                <w:rFonts w:ascii="仿宋_GB2312" w:hAnsi="仿宋_GB2312" w:cs="仿宋_GB2312" w:eastAsia="仿宋_GB2312"/>
                <w:sz w:val="22"/>
                <w:color w:val="000000"/>
              </w:rPr>
              <w:t>交货时有效期在</w:t>
            </w:r>
            <w:r>
              <w:rPr>
                <w:rFonts w:ascii="仿宋_GB2312" w:hAnsi="仿宋_GB2312" w:cs="仿宋_GB2312" w:eastAsia="仿宋_GB2312"/>
                <w:sz w:val="22"/>
                <w:color w:val="000000"/>
              </w:rPr>
              <w:t>18个月以上。</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标的名称：口蹄疫O型、A型二价灭活疫苗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1、包装为50毫升、100毫升/瓶；</w:t>
            </w:r>
          </w:p>
          <w:p>
            <w:pPr>
              <w:pStyle w:val="null5"/>
              <w:jc w:val="both"/>
            </w:pPr>
            <w:r>
              <w:rPr>
                <w:rFonts w:ascii="仿宋_GB2312" w:hAnsi="仿宋_GB2312" w:cs="仿宋_GB2312" w:eastAsia="仿宋_GB2312"/>
                <w:sz w:val="22"/>
                <w:color w:val="000000"/>
              </w:rPr>
              <w:t>2、用于预防牛羊O型、A型</w:t>
            </w:r>
            <w:r>
              <w:rPr>
                <w:rFonts w:ascii="仿宋_GB2312" w:hAnsi="仿宋_GB2312" w:cs="仿宋_GB2312" w:eastAsia="仿宋_GB2312"/>
                <w:sz w:val="22"/>
                <w:color w:val="000000"/>
              </w:rPr>
              <w:t>口蹄疫；</w:t>
            </w:r>
          </w:p>
          <w:p>
            <w:pPr>
              <w:pStyle w:val="null5"/>
              <w:jc w:val="both"/>
            </w:pPr>
            <w:r>
              <w:rPr>
                <w:rFonts w:ascii="仿宋_GB2312" w:hAnsi="仿宋_GB2312" w:cs="仿宋_GB2312" w:eastAsia="仿宋_GB2312"/>
                <w:sz w:val="22"/>
                <w:color w:val="000000"/>
              </w:rPr>
              <w:t>3、●效力检验，每头份疫苗含口蹄疫O型、A型均高于8个PD</w:t>
            </w:r>
            <w:r>
              <w:rPr>
                <w:rFonts w:ascii="仿宋_GB2312" w:hAnsi="仿宋_GB2312" w:cs="仿宋_GB2312" w:eastAsia="仿宋_GB2312"/>
                <w:sz w:val="22"/>
                <w:color w:val="000000"/>
                <w:vertAlign w:val="subscript"/>
              </w:rPr>
              <w:t>50</w:t>
            </w:r>
            <w:r>
              <w:rPr>
                <w:rFonts w:ascii="仿宋_GB2312" w:hAnsi="仿宋_GB2312" w:cs="仿宋_GB2312" w:eastAsia="仿宋_GB2312"/>
                <w:sz w:val="22"/>
                <w:color w:val="000000"/>
              </w:rPr>
              <w:t>，</w:t>
            </w:r>
            <w:r>
              <w:rPr>
                <w:rFonts w:ascii="仿宋_GB2312" w:hAnsi="仿宋_GB2312" w:cs="仿宋_GB2312" w:eastAsia="仿宋_GB2312"/>
                <w:sz w:val="22"/>
                <w:color w:val="000000"/>
              </w:rPr>
              <w:t>146S含量≥4.0μg/头份；内毒素含量≤10EU/头份；总蛋白含量≤300μg/毫升；需在投标文件内提供生产厂家符合以上参数的批签发报告及针对本项目的免疫失败及副反应处理承诺书原件扫描件；</w:t>
            </w:r>
          </w:p>
          <w:p>
            <w:pPr>
              <w:pStyle w:val="null5"/>
              <w:jc w:val="both"/>
            </w:pPr>
            <w:r>
              <w:rPr>
                <w:rFonts w:ascii="仿宋_GB2312" w:hAnsi="仿宋_GB2312" w:cs="仿宋_GB2312" w:eastAsia="仿宋_GB2312"/>
                <w:sz w:val="22"/>
                <w:color w:val="000000"/>
              </w:rPr>
              <w:t>4、使用安全、无不良反应，免疫期6个月；</w:t>
            </w:r>
          </w:p>
          <w:p>
            <w:pPr>
              <w:pStyle w:val="null5"/>
              <w:jc w:val="both"/>
            </w:pPr>
            <w:r>
              <w:rPr>
                <w:rFonts w:ascii="仿宋_GB2312" w:hAnsi="仿宋_GB2312" w:cs="仿宋_GB2312" w:eastAsia="仿宋_GB2312"/>
                <w:sz w:val="22"/>
                <w:color w:val="000000"/>
              </w:rPr>
              <w:t>5、2-8℃保存，有效期12个月，交货时有效期在9个月以上。</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标的名称：小反刍兽疫疫苗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1、包装为50头份/瓶、100头份/瓶；</w:t>
            </w:r>
          </w:p>
          <w:p>
            <w:pPr>
              <w:pStyle w:val="null5"/>
              <w:jc w:val="both"/>
            </w:pPr>
            <w:r>
              <w:rPr>
                <w:rFonts w:ascii="仿宋_GB2312" w:hAnsi="仿宋_GB2312" w:cs="仿宋_GB2312" w:eastAsia="仿宋_GB2312"/>
                <w:sz w:val="22"/>
                <w:color w:val="000000"/>
              </w:rPr>
              <w:t>2、用于预防羊的小反刍兽疫或者小反刍与羊痘；</w:t>
            </w:r>
          </w:p>
          <w:p>
            <w:pPr>
              <w:pStyle w:val="null5"/>
              <w:jc w:val="both"/>
            </w:pPr>
            <w:r>
              <w:rPr>
                <w:rFonts w:ascii="仿宋_GB2312" w:hAnsi="仿宋_GB2312" w:cs="仿宋_GB2312" w:eastAsia="仿宋_GB2312"/>
                <w:sz w:val="22"/>
                <w:color w:val="000000"/>
              </w:rPr>
              <w:t>3、●每头份疫苗含有小反刍兽疫弱毒病毒含量至少10</w:t>
            </w:r>
            <w:r>
              <w:rPr>
                <w:rFonts w:ascii="仿宋_GB2312" w:hAnsi="仿宋_GB2312" w:cs="仿宋_GB2312" w:eastAsia="仿宋_GB2312"/>
                <w:sz w:val="22"/>
                <w:color w:val="000000"/>
                <w:vertAlign w:val="superscript"/>
              </w:rPr>
              <w:t>3.0</w:t>
            </w:r>
            <w:r>
              <w:rPr>
                <w:rFonts w:ascii="仿宋_GB2312" w:hAnsi="仿宋_GB2312" w:cs="仿宋_GB2312" w:eastAsia="仿宋_GB2312"/>
                <w:sz w:val="22"/>
                <w:color w:val="000000"/>
              </w:rPr>
              <w:t>TCID</w:t>
            </w:r>
            <w:r>
              <w:rPr>
                <w:rFonts w:ascii="仿宋_GB2312" w:hAnsi="仿宋_GB2312" w:cs="仿宋_GB2312" w:eastAsia="仿宋_GB2312"/>
                <w:sz w:val="22"/>
                <w:color w:val="000000"/>
                <w:vertAlign w:val="subscript"/>
              </w:rPr>
              <w:t>50</w:t>
            </w:r>
            <w:r>
              <w:rPr>
                <w:rFonts w:ascii="仿宋_GB2312" w:hAnsi="仿宋_GB2312" w:cs="仿宋_GB2312" w:eastAsia="仿宋_GB2312"/>
                <w:sz w:val="22"/>
                <w:color w:val="000000"/>
              </w:rPr>
              <w:t>/头份。；需在投标文件内提供生产厂家符合以上参数的批签发报告及针对本项目的免疫失败及副反应处理承诺书原件扫描件；</w:t>
            </w:r>
          </w:p>
          <w:p>
            <w:pPr>
              <w:pStyle w:val="null5"/>
              <w:jc w:val="both"/>
            </w:pPr>
            <w:r>
              <w:rPr>
                <w:rFonts w:ascii="仿宋_GB2312" w:hAnsi="仿宋_GB2312" w:cs="仿宋_GB2312" w:eastAsia="仿宋_GB2312"/>
                <w:sz w:val="22"/>
                <w:color w:val="000000"/>
              </w:rPr>
              <w:t>4、产品</w:t>
            </w:r>
            <w:r>
              <w:rPr>
                <w:rFonts w:ascii="仿宋_GB2312" w:hAnsi="仿宋_GB2312" w:cs="仿宋_GB2312" w:eastAsia="仿宋_GB2312"/>
                <w:sz w:val="22"/>
                <w:color w:val="000000"/>
              </w:rPr>
              <w:t>在</w:t>
            </w:r>
            <w:r>
              <w:rPr>
                <w:rFonts w:ascii="仿宋_GB2312" w:hAnsi="仿宋_GB2312" w:cs="仿宋_GB2312" w:eastAsia="仿宋_GB2312"/>
                <w:sz w:val="22"/>
                <w:color w:val="000000"/>
              </w:rPr>
              <w:t>-20℃保存有</w:t>
            </w:r>
            <w:r>
              <w:rPr>
                <w:rFonts w:ascii="仿宋_GB2312" w:hAnsi="仿宋_GB2312" w:cs="仿宋_GB2312" w:eastAsia="仿宋_GB2312"/>
                <w:sz w:val="22"/>
                <w:color w:val="000000"/>
              </w:rPr>
              <w:t>效期为</w:t>
            </w:r>
            <w:r>
              <w:rPr>
                <w:rFonts w:ascii="仿宋_GB2312" w:hAnsi="仿宋_GB2312" w:cs="仿宋_GB2312" w:eastAsia="仿宋_GB2312"/>
                <w:sz w:val="22"/>
                <w:color w:val="000000"/>
              </w:rPr>
              <w:t>24个月；交货时有效期在12个月以上。</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标的名称：高致病性繁殖与呼吸综合征活疫苗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000000"/>
              </w:rPr>
              <w:t>1、包装为10、20头份/瓶含稀释液。</w:t>
            </w:r>
          </w:p>
          <w:p>
            <w:pPr>
              <w:pStyle w:val="null5"/>
              <w:jc w:val="both"/>
            </w:pPr>
            <w:r>
              <w:rPr>
                <w:rFonts w:ascii="仿宋_GB2312" w:hAnsi="仿宋_GB2312" w:cs="仿宋_GB2312" w:eastAsia="仿宋_GB2312"/>
                <w:sz w:val="22"/>
                <w:color w:val="000000"/>
              </w:rPr>
              <w:t>2、●用于预防</w:t>
            </w:r>
            <w:r>
              <w:rPr>
                <w:rFonts w:ascii="仿宋_GB2312" w:hAnsi="仿宋_GB2312" w:cs="仿宋_GB2312" w:eastAsia="仿宋_GB2312"/>
                <w:sz w:val="22"/>
                <w:color w:val="000000"/>
              </w:rPr>
              <w:t>高致病性猪</w:t>
            </w:r>
            <w:r>
              <w:rPr>
                <w:rFonts w:ascii="仿宋_GB2312" w:hAnsi="仿宋_GB2312" w:cs="仿宋_GB2312" w:eastAsia="仿宋_GB2312"/>
                <w:sz w:val="22"/>
                <w:color w:val="000000"/>
              </w:rPr>
              <w:t>繁殖与呼吸综合征；每头份病毒含量</w:t>
            </w:r>
            <w:r>
              <w:rPr>
                <w:rFonts w:ascii="仿宋_GB2312" w:hAnsi="仿宋_GB2312" w:cs="仿宋_GB2312" w:eastAsia="仿宋_GB2312"/>
                <w:sz w:val="22"/>
                <w:color w:val="000000"/>
              </w:rPr>
              <w:t>≥10</w:t>
            </w:r>
            <w:r>
              <w:rPr>
                <w:rFonts w:ascii="仿宋_GB2312" w:hAnsi="仿宋_GB2312" w:cs="仿宋_GB2312" w:eastAsia="仿宋_GB2312"/>
                <w:sz w:val="22"/>
                <w:color w:val="000000"/>
                <w:vertAlign w:val="superscript"/>
              </w:rPr>
              <w:t>5.0</w:t>
            </w:r>
            <w:r>
              <w:rPr>
                <w:rFonts w:ascii="仿宋_GB2312" w:hAnsi="仿宋_GB2312" w:cs="仿宋_GB2312" w:eastAsia="仿宋_GB2312"/>
                <w:sz w:val="22"/>
                <w:color w:val="000000"/>
              </w:rPr>
              <w:t>TCID</w:t>
            </w:r>
            <w:r>
              <w:rPr>
                <w:rFonts w:ascii="仿宋_GB2312" w:hAnsi="仿宋_GB2312" w:cs="仿宋_GB2312" w:eastAsia="仿宋_GB2312"/>
                <w:sz w:val="22"/>
                <w:color w:val="000000"/>
                <w:vertAlign w:val="subscript"/>
              </w:rPr>
              <w:t>50</w:t>
            </w:r>
            <w:r>
              <w:rPr>
                <w:rFonts w:ascii="仿宋_GB2312" w:hAnsi="仿宋_GB2312" w:cs="仿宋_GB2312" w:eastAsia="仿宋_GB2312"/>
                <w:sz w:val="22"/>
                <w:color w:val="000000"/>
              </w:rPr>
              <w:t>。需在投标文件内提供生产厂家符合以上参数的批签发报告及针对本项目的免疫失败及副反应处理承诺书原件扫描件；</w:t>
            </w:r>
          </w:p>
          <w:p>
            <w:pPr>
              <w:pStyle w:val="null5"/>
              <w:jc w:val="both"/>
            </w:pPr>
            <w:r>
              <w:rPr>
                <w:rFonts w:ascii="仿宋_GB2312" w:hAnsi="仿宋_GB2312" w:cs="仿宋_GB2312" w:eastAsia="仿宋_GB2312"/>
                <w:sz w:val="22"/>
                <w:color w:val="000000"/>
              </w:rPr>
              <w:t>3、保存有效期为18个月，交货时有效期</w:t>
            </w:r>
            <w:r>
              <w:rPr>
                <w:rFonts w:ascii="仿宋_GB2312" w:hAnsi="仿宋_GB2312" w:cs="仿宋_GB2312" w:eastAsia="仿宋_GB2312"/>
                <w:sz w:val="22"/>
                <w:color w:val="000000"/>
              </w:rPr>
              <w:t>在</w:t>
            </w:r>
            <w:r>
              <w:rPr>
                <w:rFonts w:ascii="仿宋_GB2312" w:hAnsi="仿宋_GB2312" w:cs="仿宋_GB2312" w:eastAsia="仿宋_GB2312"/>
                <w:sz w:val="22"/>
                <w:color w:val="000000"/>
              </w:rPr>
              <w:t>8个月以上。</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技术部分40.00分</w:t>
            </w:r>
          </w:p>
          <w:p>
            <w:pPr>
              <w:pStyle w:val="null5"/>
              <w:jc w:val="left"/>
            </w:pPr>
            <w:r>
              <w:rPr>
                <w:rFonts w:ascii="仿宋_GB2312" w:hAnsi="仿宋_GB2312" w:cs="仿宋_GB2312" w:eastAsia="仿宋_GB2312"/>
              </w:rPr>
              <w:t>商务部分30.00分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技术参数响应</w:t>
            </w:r>
          </w:p>
        </w:tc>
        <w:tc>
          <w:tcPr>
            <w:tcW w:type="dxa" w:w="3115"/>
          </w:tcPr>
          <w:p>
            <w:pPr>
              <w:pStyle w:val="null5"/>
              <w:jc w:val="left"/>
            </w:pPr>
            <w:r>
              <w:rPr>
                <w:rFonts w:ascii="仿宋_GB2312" w:hAnsi="仿宋_GB2312" w:cs="仿宋_GB2312" w:eastAsia="仿宋_GB2312"/>
              </w:rPr>
              <w:t>根据供应商对招标文件中产品技术响应情况评审： 所提供的产品参数及佐证文件完全满足响应文件要求得20分，打“●”为重要指标，投标人提供的重要技术指标参数出现1条不满足扣4分，扣完为止。 (注:为方便评标,供应商在其技术规格响应表中写明相应的检测报告等佐证材料，用于佐证第几条并在佐证材料上使用下划线、文本框等方式加以明显标记。未附相关技术佐证文件或提供的技术佐证文件未真实反映该指标参数的，评标委员会有理由认为该指标参数不满足招标文件要求的技术参数指标。)</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交货运输</w:t>
            </w:r>
          </w:p>
        </w:tc>
        <w:tc>
          <w:tcPr>
            <w:tcW w:type="dxa" w:w="3115"/>
          </w:tcPr>
          <w:p>
            <w:pPr>
              <w:pStyle w:val="null5"/>
              <w:jc w:val="left"/>
            </w:pPr>
            <w:r>
              <w:rPr>
                <w:rFonts w:ascii="仿宋_GB2312" w:hAnsi="仿宋_GB2312" w:cs="仿宋_GB2312" w:eastAsia="仿宋_GB2312"/>
              </w:rPr>
              <w:t>根据投标企业提供的疫苗运送保存条件配送方案进行评审，优的得5分，良的得3分，一般的得1分。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技术培训</w:t>
            </w:r>
          </w:p>
        </w:tc>
        <w:tc>
          <w:tcPr>
            <w:tcW w:type="dxa" w:w="3115"/>
          </w:tcPr>
          <w:p>
            <w:pPr>
              <w:pStyle w:val="null5"/>
              <w:jc w:val="left"/>
            </w:pPr>
            <w:r>
              <w:rPr>
                <w:rFonts w:ascii="仿宋_GB2312" w:hAnsi="仿宋_GB2312" w:cs="仿宋_GB2312" w:eastAsia="仿宋_GB2312"/>
              </w:rPr>
              <w:t>根据投标企业提供的培训方案进行评审，优的得5分，良的得3分，一般的得1分。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诊断支持</w:t>
            </w:r>
          </w:p>
        </w:tc>
        <w:tc>
          <w:tcPr>
            <w:tcW w:type="dxa" w:w="3115"/>
          </w:tcPr>
          <w:p>
            <w:pPr>
              <w:pStyle w:val="null5"/>
              <w:jc w:val="left"/>
            </w:pPr>
            <w:r>
              <w:rPr>
                <w:rFonts w:ascii="仿宋_GB2312" w:hAnsi="仿宋_GB2312" w:cs="仿宋_GB2312" w:eastAsia="仿宋_GB2312"/>
              </w:rPr>
              <w:t>根据投标企业提供的诊断方案进行评审，诊断方案合理、可行得5分，方案较合理、可行得3分，方案一般的得1分。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产品质量保障措施</w:t>
            </w:r>
          </w:p>
        </w:tc>
        <w:tc>
          <w:tcPr>
            <w:tcW w:type="dxa" w:w="3115"/>
          </w:tcPr>
          <w:p>
            <w:pPr>
              <w:pStyle w:val="null5"/>
              <w:jc w:val="left"/>
            </w:pPr>
            <w:r>
              <w:rPr>
                <w:rFonts w:ascii="仿宋_GB2312" w:hAnsi="仿宋_GB2312" w:cs="仿宋_GB2312" w:eastAsia="仿宋_GB2312"/>
              </w:rPr>
              <w:t>针对疫苗出现沉淀、浑浊、分层、失真空、标签及外包装破损等质量情况下的处理方案，方案全面、详尽，符合本项目特点，得5分；方案比较全面，得3分，方案单一得1分。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投标人每有一项类似业绩的得2.5分，满分5分。注：业绩证明材料以投标单位提供的合同为准，投标文件中附相应证明材料的原件扫描件并加盖投标人公章/电子公章，否则不得分。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免疫副反应处理</w:t>
            </w:r>
          </w:p>
        </w:tc>
        <w:tc>
          <w:tcPr>
            <w:tcW w:type="dxa" w:w="3115"/>
          </w:tcPr>
          <w:p>
            <w:pPr>
              <w:pStyle w:val="null5"/>
              <w:jc w:val="left"/>
            </w:pPr>
            <w:r>
              <w:rPr>
                <w:rFonts w:ascii="仿宋_GB2312" w:hAnsi="仿宋_GB2312" w:cs="仿宋_GB2312" w:eastAsia="仿宋_GB2312"/>
              </w:rPr>
              <w:t>根据投标企业提供投标企业副反应处理方案进行评审，优的得10分，良的得5分，一般的得1分。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产品规格</w:t>
            </w:r>
          </w:p>
        </w:tc>
        <w:tc>
          <w:tcPr>
            <w:tcW w:type="dxa" w:w="3115"/>
          </w:tcPr>
          <w:p>
            <w:pPr>
              <w:pStyle w:val="null5"/>
              <w:jc w:val="left"/>
            </w:pPr>
            <w:r>
              <w:rPr>
                <w:rFonts w:ascii="仿宋_GB2312" w:hAnsi="仿宋_GB2312" w:cs="仿宋_GB2312" w:eastAsia="仿宋_GB2312"/>
              </w:rPr>
              <w:t>除招标文件要求的规格外，承诺可按照采购方根据实际工作需求提出的其他规格数量及比例供货（提供不同规格的批签发证明材料），每提供一份得1分，满分5分。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根据投标企业承诺对所提供的产品使用情况实施全天候的技术支持和跟踪服务，并制定完善的售前、售中、售后技术服务方案情况进行评审，优的得10分，良的得5分，一般的得1分。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