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宝力根花卫生院消防工程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扎赉特旗宝力根花卫生院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152223-DXGC-CS-20250009</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扎赉特旗宝力根花卫生院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宝力根花卫生院消防工程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宝力根花卫生院消防工程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扎财购计划[2025]00083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839,711.12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宝力根花卫生院消防工程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839,711.12</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1、特殊资格要求：本次招标要求投标人具有有效的营业执照并具有建设行政主管部门核发的消防设施工程施工专业承包二级（含二级）以上资质及有效的安全生产许可证。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黑龙江省哈尔滨市香坊区哈尔滨市香坊区松梅路恒大御景湾二期F2栋1-3层01号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扎赉特旗宝力根花卫生院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扎赉特旗宝力根花</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孙红霞</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15174778521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代理服务费收费标准：内工建协【2022】34号文件</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扎赉特旗宝力根花卫生院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宝力根花卫生院消防工程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扎赉特旗宝力根花苏木</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标的名称：宝力根花卫生院消防工程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审查供应商2022或2023年度经会计师事务所出具的财务审计报告或其基本开户银行出具的近一年内的银行资信证明或供应商出具的“具有良好的商业信誉和健全的财务会计制度"声明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2024年01月01日至今(至少任意3个月)的良好缴纳税收的相关凭据以税务机关提供的纳税凭据或银行入账单为准)及缴纳社会保险的凭证(以专用收据或社会保险缴纳清单为准)。如供应商无上述证明材料，供应商提供“有依法缴纳税收和社会保障资金的良好记录"声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本次招标要求投标人具有有效的营业执照并具有建设行政主管部门核发的消防设施工程施工专业承包二级（含二级）以上资质及有效的安全生产许可证。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