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2024年阿尔本格勒嘎查农村公益事业巷道硬化项目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扎赉特旗阿尔本格勒镇人民政府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众赢国际咨询有限责任公司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152223-ZYWS-CS-20250001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众赢国际咨询有限责任公司</w:t>
      </w:r>
      <w:r>
        <w:rPr>
          <w:rFonts w:ascii="仿宋_GB2312" w:hAnsi="仿宋_GB2312" w:cs="仿宋_GB2312" w:eastAsia="仿宋_GB2312"/>
        </w:rPr>
        <w:t xml:space="preserve"> 受 </w:t>
      </w:r>
      <w:r>
        <w:rPr>
          <w:rFonts w:ascii="仿宋_GB2312" w:hAnsi="仿宋_GB2312" w:cs="仿宋_GB2312" w:eastAsia="仿宋_GB2312"/>
        </w:rPr>
        <w:t>扎赉特旗阿尔本格勒镇人民政府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2024年阿尔本格勒嘎查农村公益事业巷道硬化项目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2024年阿尔本格勒嘎查农村公益事业巷道硬化项目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152223-ZYWS-CS-20250001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扎财购计划[2025]00071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2,391,176.00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2024年阿尔本格勒嘎查农村公益事业巷道硬化项目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2,391,176.00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众赢国际咨询有限责任公司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河北省张家口市张家口经济开发区河北省张家口经济开发区沙岭子镇屈家庄村（东山产业集聚区）3层306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15334847137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扎赉特旗阿尔本格勒镇人民政府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扎赉特旗阿尔本格勒镇人民政府</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137600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白斯琴图</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13664806108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代理服务费收费标准：28694.1</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采购包1：组织现场踏勘：是</w:t>
            </w:r>
          </w:p>
          <w:p>
            <w:pPr>
              <w:pStyle w:val="null5"/>
              <w:jc w:val="left"/>
            </w:pPr>
            <w:r>
              <w:rPr>
                <w:rFonts w:ascii="仿宋_GB2312" w:hAnsi="仿宋_GB2312" w:cs="仿宋_GB2312" w:eastAsia="仿宋_GB2312"/>
              </w:rPr>
              <w:t>踏勘时间：2025-02-11 09:30:00</w:t>
            </w:r>
          </w:p>
          <w:p>
            <w:pPr>
              <w:pStyle w:val="null5"/>
              <w:jc w:val="left"/>
            </w:pPr>
            <w:r>
              <w:rPr>
                <w:rFonts w:ascii="仿宋_GB2312" w:hAnsi="仿宋_GB2312" w:cs="仿宋_GB2312" w:eastAsia="仿宋_GB2312"/>
              </w:rPr>
              <w:t>踏勘地点：扎赉特旗阿尔本格勒镇人民政府二楼会议室</w:t>
            </w:r>
          </w:p>
          <w:p>
            <w:pPr>
              <w:pStyle w:val="null5"/>
              <w:jc w:val="left"/>
            </w:pPr>
            <w:r>
              <w:rPr>
                <w:rFonts w:ascii="仿宋_GB2312" w:hAnsi="仿宋_GB2312" w:cs="仿宋_GB2312" w:eastAsia="仿宋_GB2312"/>
              </w:rPr>
              <w:t>联系人：白斯琴图</w:t>
            </w:r>
          </w:p>
          <w:p>
            <w:pPr>
              <w:pStyle w:val="null5"/>
              <w:jc w:val="left"/>
            </w:pPr>
            <w:r>
              <w:rPr>
                <w:rFonts w:ascii="仿宋_GB2312" w:hAnsi="仿宋_GB2312" w:cs="仿宋_GB2312" w:eastAsia="仿宋_GB2312"/>
              </w:rPr>
              <w:t>联系电话号码：15024826161</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扎赉特旗阿尔本格勒镇人民政府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众赢国际咨询有限责任公司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项目名称：2024年阿尔本格勒嘎查农村公益事业巷道硬化项目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按合同约定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按合同约定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1、合同签订后支付至合同总价款的30%，达到付款条件起1日，支付合同总金额的30.00%</w:t>
            </w:r>
          </w:p>
          <w:p>
            <w:pPr>
              <w:pStyle w:val="null5"/>
              <w:jc w:val="left"/>
            </w:pPr>
            <w:r>
              <w:rPr>
                <w:rFonts w:ascii="仿宋_GB2312" w:hAnsi="仿宋_GB2312" w:cs="仿宋_GB2312" w:eastAsia="仿宋_GB2312"/>
              </w:rPr>
              <w:t>2、竣工并通过验收后支付65%，达到付款条件起1日，支付合同总金额的65.00%</w:t>
            </w:r>
          </w:p>
          <w:p>
            <w:pPr>
              <w:pStyle w:val="null5"/>
              <w:jc w:val="left"/>
            </w:pPr>
            <w:r>
              <w:rPr>
                <w:rFonts w:ascii="仿宋_GB2312" w:hAnsi="仿宋_GB2312" w:cs="仿宋_GB2312" w:eastAsia="仿宋_GB2312"/>
              </w:rPr>
              <w:t>3、质保期满无质量问题后支付5%，达到付款条件起1日，支付合同总金额的5.00%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标的名称：2024年阿尔本格勒嘎查农村公益事业巷道硬化项目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审查供应商2023年或2024年度经会计师事务所出具的财务审计报告、成立不足一年的公司 须提供基本账户开户银行出具的资信证明或具有良好的商业信誉和健全的财务会计制度的承 诺函。注：如供应商无上述证明材料，可提供“具有良好的商业信誉和健全的财务会计制度” 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提供递交投标文件截止之日前一年内 (至少一个月) 的良好缴纳税收的相关凭据 (以税务机关 提供的纳税凭据或银行入账单为准) 或提供递交响应文件截止之日前一年内 (至少一个月) 缴纳社会保险的凭证 (以专用收据或社会保险缴纳清单为准) 或依法缴纳税收和社会保障资金的承诺函。 注：其他组织和自然人也需要提供缴纳税收的凭据金额缴纳社保的凭据。依法免 税或不需要缴纳社会保障资金的供应商，应提供相应文件证明其依法免税或不需要缴纳社会 保障资金。如供应商无上述证明材料,可根据自身情况作出“依法缴纳税收或社保资金” 的承诺 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技术部分30.00分</w:t>
            </w:r>
          </w:p>
          <w:p>
            <w:pPr>
              <w:pStyle w:val="null5"/>
              <w:jc w:val="left"/>
            </w:pPr>
            <w:r>
              <w:rPr>
                <w:rFonts w:ascii="仿宋_GB2312" w:hAnsi="仿宋_GB2312" w:cs="仿宋_GB2312" w:eastAsia="仿宋_GB2312"/>
              </w:rPr>
              <w:t>商务部分40.00分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根据供应商提供的施工技术方案编制合理、部署全面、内容具体详实且针对性强，可高效有序的组织项目实施进行评审：优秀的得6分；良好的得4分；较好的得2分；一般的得1分；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按采购需求编制，工序搭配逻辑关系和关键线路清晰、合理，进度内容全面针对性强，能够高效有序进行施工开展进行评审：优秀的得5分；良好的得3分；较好的得2分；一般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根据供应商提供的质量保证计划明确、质量保证体系健全，措施可靠且针对性强进行评审：优秀的得5分；良好的得3分；较好的得2分；一般的得1分；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根据供应商提供的安全施工方案具体、完整，保证措施完善、先进且针对性强进行评审：优秀的得5分；良好的得3分；较好的得2分；一般的得1分；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根据供应商提供的环境保护措施非常安全得力、减少噪音，降低环境污染措施完善可行进行评审：优秀的得3分；良好的得2分；一般的得1分；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根据供应商提供的资源配备计划齐全，其中主要机械设备、劳动力、施工机具、安全防护用品满足工程进度及施工管理要求进行评审：优秀的得3分；良好的得2分；一般的得1分；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根据供应商提供的冬季和雨季施工方案满足工程要求进行评审：优秀的得3分；良好的得2分；一般的得1分；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近三年承揽类似项目的，需提供业绩合同或成交通知书，每提供一项得1分，满分10分。(注：需提供原件或复印件加盖公章)</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信誉</w:t>
            </w:r>
          </w:p>
        </w:tc>
        <w:tc>
          <w:tcPr>
            <w:tcW w:type="dxa" w:w="3115"/>
          </w:tcPr>
          <w:p>
            <w:pPr>
              <w:pStyle w:val="null5"/>
              <w:jc w:val="left"/>
            </w:pPr>
            <w:r>
              <w:rPr>
                <w:rFonts w:ascii="仿宋_GB2312" w:hAnsi="仿宋_GB2312" w:cs="仿宋_GB2312" w:eastAsia="仿宋_GB2312"/>
              </w:rPr>
              <w:t>近三年在“中国裁判文书网”，“中国执行信息公开网”无诉讼及违法记录，每提供一项得5分，满分10分。（注：需附相关网页截图）</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投标单位具有完整的人员配备，具有“八大员”得5分，具有“高危作业人员”人员得5分，具有“市政公用工程一级建造师”项目经理得10分。（注：需附人员相关证书复印件或扫描件，及相关人员连续三个月社保证明。）</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投标报价为投标人的投标函文字报价，投标报价或调整 函中的报价超出招标人公布的招标控制价为无效报价。 在开标现场，招标人应当场计算并宣布评标基准价。 1 、投标报价平均值的确定 （1）如果有效投标报价数量小于等于 5 家时，评标基 准价为所有投标人的有效投标报价的算术平均值； （2）如果 6 家≤有效投标报价数量≤10 家时，评标基准 价为去掉 1 个最高和 2 个最低的投标人投标报价后剩余 投标人有效投标报价的算术平均值； （3）如果 11 家≤有效投标报价数量≤15 家时，评标基准 价为去掉 2 个最高和 4 个最低的投标人投标报价后剩余 投标人有效投标报价的算术平均值； （4）如果 16 家≤有效投标报价数量≤20 家时，评标基准 价为去掉 3 个最高和 6 个最低的投标人投标报价后剩余 投标人有效投标报价的算术平均值； （5）如果 21 家≤有效投标报价数量≤30 家时，评标基准 价为去掉 6 个最高和 10 个最低的投标人投标报价后剩 余投标人有效投标报价的算术平均值； （6）如果 31 家≤有效投标报价数量≤40 家时，评标基准 价为去掉 9 个最高和 16 个最低的投标人投标报价后剩 余投标人有效投标报价的算术平均值； （7）如果 41 家≤有效投标报价数量≤60 家时，评标基准 价为去掉 12 个最高和 20 个最低的投标人投标报价后剩 余投标人有效投标报价的算术平均值； （8）如果 61 家≤有效投标报价数量≤100 家时，评标基 准价为去掉 16 个最高和 26 个最低的投标人投标报价后 剩余投标人有效投标报价的算术平均值； （9）如果有效投标报价数量＞100 家时，评标基准价为 去掉 20 个最高和 30 个最低的投标人投标报价后剩余投 标人有效投标报价的算术平均值； 2 、评标基准价的确定 评标基准价=最高投标限价×70%+投标报价平均值×30% 确认后的评标基准价在整个评标期间保持不变，不随通 过初步评审和详细评审的投标人的数量发生变化而变 化。 3、评标价得分：总分45分。 评标价得分计算公式示例 如果投标人的评标价＞评标基准价，则评标价得分=投标报价总分-偏差率*100*E1; 如果投标人的评标价≤评标基准价，则评标价得分=投标报价总分-[偏差率]*100*E2; 其中：E1是投标报价高于评标基准价1%（含1%），每个百分点扣0.1分；E2是投标报价低于评标基准价1%（含1%），每个百分点扣0.1分；中间值按比例内插，保留小数点后两位，第三位四舍五入。</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