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2024年扎赉特旗优质高效增粮示范行动项目(二次)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内蒙古丰优项目管理有限公司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152223-FYZC-CS-20250001-1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内蒙古丰优项目管理有限公司</w:t>
      </w:r>
      <w:r>
        <w:rPr>
          <w:rFonts w:ascii="仿宋_GB2312" w:hAnsi="仿宋_GB2312" w:cs="仿宋_GB2312" w:eastAsia="仿宋_GB2312"/>
        </w:rPr>
        <w:t xml:space="preserve"> 受 </w:t>
      </w:r>
      <w:r>
        <w:rPr>
          <w:rFonts w:ascii="仿宋_GB2312" w:hAnsi="仿宋_GB2312" w:cs="仿宋_GB2312" w:eastAsia="仿宋_GB2312"/>
        </w:rPr>
        <w:t>扎赉特旗农牧和科技局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2024年扎赉特旗优质高效增粮示范行动项目(二次)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2024年扎赉特旗优质高效增粮示范行动项目(二次)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152223-FYZC-CS-20250001-1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扎财购计划[2025]00075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单翼迷宫滴灌带（含主管、支管、配件）</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right"/>
            </w:pPr>
            <w:r>
              <w:rPr>
                <w:rFonts w:ascii="仿宋_GB2312" w:hAnsi="仿宋_GB2312" w:cs="仿宋_GB2312" w:eastAsia="仿宋_GB2312"/>
              </w:rPr>
              <w:t>560,000.00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684,900.00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尿素</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112,000.00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玉米配方肥</w:t>
            </w:r>
          </w:p>
        </w:tc>
        <w:tc>
          <w:tcPr>
            <w:tcW w:type="dxa" w:w="831"/>
          </w:tcPr>
          <w:p>
            <w:pPr>
              <w:pStyle w:val="null5"/>
              <w:jc w:val="right"/>
            </w:pPr>
            <w:r>
              <w:rPr>
                <w:rFonts w:ascii="仿宋_GB2312" w:hAnsi="仿宋_GB2312" w:cs="仿宋_GB2312" w:eastAsia="仿宋_GB2312"/>
              </w:rPr>
              <w:t>41.00</w:t>
            </w:r>
          </w:p>
        </w:tc>
        <w:tc>
          <w:tcPr>
            <w:tcW w:type="dxa" w:w="831"/>
          </w:tcPr>
          <w:p>
            <w:pPr>
              <w:pStyle w:val="null5"/>
              <w:jc w:val="right"/>
            </w:pPr>
            <w:r>
              <w:rPr>
                <w:rFonts w:ascii="仿宋_GB2312" w:hAnsi="仿宋_GB2312" w:cs="仿宋_GB2312" w:eastAsia="仿宋_GB2312"/>
              </w:rPr>
              <w:t>139,400.00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水稻配方肥</w:t>
            </w:r>
          </w:p>
        </w:tc>
        <w:tc>
          <w:tcPr>
            <w:tcW w:type="dxa" w:w="831"/>
          </w:tcPr>
          <w:p>
            <w:pPr>
              <w:pStyle w:val="null5"/>
              <w:jc w:val="right"/>
            </w:pPr>
            <w:r>
              <w:rPr>
                <w:rFonts w:ascii="仿宋_GB2312" w:hAnsi="仿宋_GB2312" w:cs="仿宋_GB2312" w:eastAsia="仿宋_GB2312"/>
              </w:rPr>
              <w:t>87.50</w:t>
            </w:r>
          </w:p>
        </w:tc>
        <w:tc>
          <w:tcPr>
            <w:tcW w:type="dxa" w:w="831"/>
          </w:tcPr>
          <w:p>
            <w:pPr>
              <w:pStyle w:val="null5"/>
              <w:jc w:val="right"/>
            </w:pPr>
            <w:r>
              <w:rPr>
                <w:rFonts w:ascii="仿宋_GB2312" w:hAnsi="仿宋_GB2312" w:cs="仿宋_GB2312" w:eastAsia="仿宋_GB2312"/>
              </w:rPr>
              <w:t>297,500.00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大豆配方肥</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102,000.00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甜菜配方肥</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34,000.00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91,600.00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磷酸二氢钾+芸苔素内酯</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化控药剂</w:t>
            </w:r>
          </w:p>
        </w:tc>
        <w:tc>
          <w:tcPr>
            <w:tcW w:type="dxa" w:w="831"/>
          </w:tcPr>
          <w:p>
            <w:pPr>
              <w:pStyle w:val="null5"/>
              <w:jc w:val="right"/>
            </w:pPr>
            <w:r>
              <w:rPr>
                <w:rFonts w:ascii="仿宋_GB2312" w:hAnsi="仿宋_GB2312" w:cs="仿宋_GB2312" w:eastAsia="仿宋_GB2312"/>
              </w:rPr>
              <w:t>2,200.00</w:t>
            </w:r>
          </w:p>
        </w:tc>
        <w:tc>
          <w:tcPr>
            <w:tcW w:type="dxa" w:w="831"/>
          </w:tcPr>
          <w:p>
            <w:pPr>
              <w:pStyle w:val="null5"/>
              <w:jc w:val="right"/>
            </w:pPr>
            <w:r>
              <w:rPr>
                <w:rFonts w:ascii="仿宋_GB2312" w:hAnsi="仿宋_GB2312" w:cs="仿宋_GB2312" w:eastAsia="仿宋_GB2312"/>
              </w:rPr>
              <w:t>11,000.00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玉米病害防治药剂</w:t>
            </w:r>
          </w:p>
        </w:tc>
        <w:tc>
          <w:tcPr>
            <w:tcW w:type="dxa" w:w="831"/>
          </w:tcPr>
          <w:p>
            <w:pPr>
              <w:pStyle w:val="null5"/>
              <w:jc w:val="right"/>
            </w:pPr>
            <w:r>
              <w:rPr>
                <w:rFonts w:ascii="仿宋_GB2312" w:hAnsi="仿宋_GB2312" w:cs="仿宋_GB2312" w:eastAsia="仿宋_GB2312"/>
              </w:rPr>
              <w:t>1,600.00</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甜菜褐斑病防治药剂</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right"/>
            </w:pPr>
            <w:r>
              <w:rPr>
                <w:rFonts w:ascii="仿宋_GB2312" w:hAnsi="仿宋_GB2312" w:cs="仿宋_GB2312" w:eastAsia="仿宋_GB2312"/>
              </w:rPr>
              <w:t>11,000.00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内蒙古丰优项目管理有限公司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内蒙古自治区兴安盟乌兰浩特市和平街道万恒世纪城15号商住楼1号商业</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内蒙古丰优项目管理有限公司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0482-3983208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137600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刘玉龙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15661262622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代理服务费收费标准：按照《内蒙古自治区招标代理服务收费指导意见》的通知-内工建协[2022]34号文件计算收取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扎赉特旗农牧和科技局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内蒙古丰优项目管理有限公司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紧紧围绕粮食等重要农产品稳产保供，聚焦主要粮食作物，兼顾油料等特色经济作物，落实“大园区”理念，依托优质高效增粮项目，推技术、提单产，因地制宜集成推广优质高产品种和高产高效栽培技术模式，打造高产典型，建设优质高效增粮示范区。以示范区为单元推行“三区”建设，建设技术攻关区、评比展示区、示范推广区，将优质高效增粮示范行动打造成为集成果展示示范、技术集成推广、现场观摩培训于一体的引领粮食生产的样板典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1、通过验收，达到付款条件起10日，支付合同总金额的80.00%</w:t>
            </w:r>
          </w:p>
          <w:p>
            <w:pPr>
              <w:pStyle w:val="null5"/>
              <w:jc w:val="left"/>
            </w:pPr>
            <w:r>
              <w:rPr>
                <w:rFonts w:ascii="仿宋_GB2312" w:hAnsi="仿宋_GB2312" w:cs="仿宋_GB2312" w:eastAsia="仿宋_GB2312"/>
              </w:rPr>
              <w:t>2、满足售后要求，达到付款条件起10日，支付合同总金额的20.00%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1、通过验收，达到付款条件起10日，支付合同总金额的80.00%</w:t>
            </w:r>
          </w:p>
          <w:p>
            <w:pPr>
              <w:pStyle w:val="null5"/>
              <w:jc w:val="left"/>
            </w:pPr>
            <w:r>
              <w:rPr>
                <w:rFonts w:ascii="仿宋_GB2312" w:hAnsi="仿宋_GB2312" w:cs="仿宋_GB2312" w:eastAsia="仿宋_GB2312"/>
              </w:rPr>
              <w:t>2、满足售后要求，达到付款条件起10日，支付合同总金额的20.00%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1、通过验收，达到付款条件起10日，支付合同总金额的80.00%</w:t>
            </w:r>
          </w:p>
          <w:p>
            <w:pPr>
              <w:pStyle w:val="null5"/>
              <w:jc w:val="left"/>
            </w:pPr>
            <w:r>
              <w:rPr>
                <w:rFonts w:ascii="仿宋_GB2312" w:hAnsi="仿宋_GB2312" w:cs="仿宋_GB2312" w:eastAsia="仿宋_GB2312"/>
              </w:rPr>
              <w:t>2、满足售后要求，达到付款条件起10日，支付合同总金额的20.00%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标的名称：单翼迷宫滴灌带（含主管、支管、配件）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滴灌带壁厚 0.18-0.2mm</w:t>
            </w:r>
            <w:r>
              <w:br/>
            </w:r>
            <w:r>
              <w:rPr>
                <w:rFonts w:ascii="仿宋_GB2312" w:hAnsi="仿宋_GB2312" w:cs="仿宋_GB2312" w:eastAsia="仿宋_GB2312"/>
              </w:rPr>
              <w:t xml:space="preserve"> 滴水孔间距200-250mm</w:t>
            </w:r>
            <w:r>
              <w:br/>
            </w:r>
            <w:r>
              <w:rPr>
                <w:rFonts w:ascii="仿宋_GB2312" w:hAnsi="仿宋_GB2312" w:cs="仿宋_GB2312" w:eastAsia="仿宋_GB2312"/>
              </w:rPr>
              <w:t xml:space="preserve"> 出水流量L/h( 2.8≤流量≤3.0)，提供滴灌带符合行业执行标准</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标的名称：尿素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N≥46%，提供肥料符合行业执行标准</w:t>
            </w:r>
          </w:p>
        </w:tc>
      </w:tr>
    </w:tbl>
    <w:p>
      <w:pPr>
        <w:pStyle w:val="null5"/>
        <w:jc w:val="left"/>
      </w:pPr>
      <w:r>
        <w:rPr>
          <w:rFonts w:ascii="仿宋_GB2312" w:hAnsi="仿宋_GB2312" w:cs="仿宋_GB2312" w:eastAsia="仿宋_GB2312"/>
        </w:rPr>
        <w:t>标的名称：玉米配方肥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有机无机复混肥料，氮磷钾含量14-17-14，有机质含量不低于7%，提供肥料符合行业执行标准</w:t>
            </w:r>
          </w:p>
        </w:tc>
      </w:tr>
    </w:tbl>
    <w:p>
      <w:pPr>
        <w:pStyle w:val="null5"/>
        <w:jc w:val="left"/>
      </w:pPr>
      <w:r>
        <w:rPr>
          <w:rFonts w:ascii="仿宋_GB2312" w:hAnsi="仿宋_GB2312" w:cs="仿宋_GB2312" w:eastAsia="仿宋_GB2312"/>
        </w:rPr>
        <w:t>标的名称：水稻配方肥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有机无机复混肥料，氮磷钾含量18-12-15，有机质含量不低于7%，提供肥料符合行业执行标准</w:t>
            </w:r>
          </w:p>
        </w:tc>
      </w:tr>
    </w:tbl>
    <w:p>
      <w:pPr>
        <w:pStyle w:val="null5"/>
        <w:jc w:val="left"/>
      </w:pPr>
      <w:r>
        <w:rPr>
          <w:rFonts w:ascii="仿宋_GB2312" w:hAnsi="仿宋_GB2312" w:cs="仿宋_GB2312" w:eastAsia="仿宋_GB2312"/>
        </w:rPr>
        <w:t>标的名称：大豆配方肥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有机无机复混肥料，氮磷钾含量12-18-15，有机质含量不低于7%，提供肥料符合行业执行标准</w:t>
            </w:r>
          </w:p>
        </w:tc>
      </w:tr>
    </w:tbl>
    <w:p>
      <w:pPr>
        <w:pStyle w:val="null5"/>
        <w:jc w:val="left"/>
      </w:pPr>
      <w:r>
        <w:rPr>
          <w:rFonts w:ascii="仿宋_GB2312" w:hAnsi="仿宋_GB2312" w:cs="仿宋_GB2312" w:eastAsia="仿宋_GB2312"/>
        </w:rPr>
        <w:t>标的名称：甜菜配方肥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有机无机复混肥料，氮磷钾含量13-10-16，有机质含量不低于7%，提供肥料符合行业执行标准</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标的名称：磷酸二氢钾+芸苔素内酯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磷酸二氢钾含量≥96%，亩用量40g；芸苔素内酯含量≥0.01%，亩用量15ml</w:t>
            </w:r>
          </w:p>
        </w:tc>
      </w:tr>
    </w:tbl>
    <w:p>
      <w:pPr>
        <w:pStyle w:val="null5"/>
        <w:jc w:val="left"/>
      </w:pPr>
      <w:r>
        <w:rPr>
          <w:rFonts w:ascii="仿宋_GB2312" w:hAnsi="仿宋_GB2312" w:cs="仿宋_GB2312" w:eastAsia="仿宋_GB2312"/>
        </w:rPr>
        <w:t>标的名称：化控药剂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聚天门冬氨酸≥220gL;PH8.0-10.0;水不溶物≤20g/L，提供药剂符合行业执行标准。</w:t>
            </w:r>
          </w:p>
        </w:tc>
      </w:tr>
    </w:tbl>
    <w:p>
      <w:pPr>
        <w:pStyle w:val="null5"/>
        <w:jc w:val="left"/>
      </w:pPr>
      <w:r>
        <w:rPr>
          <w:rFonts w:ascii="仿宋_GB2312" w:hAnsi="仿宋_GB2312" w:cs="仿宋_GB2312" w:eastAsia="仿宋_GB2312"/>
        </w:rPr>
        <w:t>标的名称：玉米病害防治药剂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吡唑醚菌酯含量大于等于25.0%，提供药剂符合行业执行标准。</w:t>
            </w:r>
          </w:p>
        </w:tc>
      </w:tr>
    </w:tbl>
    <w:p>
      <w:pPr>
        <w:pStyle w:val="null5"/>
        <w:jc w:val="left"/>
      </w:pPr>
      <w:r>
        <w:rPr>
          <w:rFonts w:ascii="仿宋_GB2312" w:hAnsi="仿宋_GB2312" w:cs="仿宋_GB2312" w:eastAsia="仿宋_GB2312"/>
        </w:rPr>
        <w:t>标的名称：甜菜褐斑病防治药剂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总有效成分含量:≥17%，吡唑醚菌酯含量大于等于12.3%，氟环唑≥4.7%，提供药剂符合行业执行标准。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根据投标供应商提供的项目实施方案进行评审： 1、内容全面详细，针对性、可操 作性强，完全满足项目要求的得10分； 2、内容较为详细，针对性、可操作 性较强，满足项目要求的得7分； 3、内容偏简单，针对性、可操作性一般 , 基本满足项目要求，存在少量缺漏的得4分； 4、内容简单、可行性差的得2分； 5、无此项内容不得分。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供货周期保证措施</w:t>
            </w:r>
          </w:p>
        </w:tc>
        <w:tc>
          <w:tcPr>
            <w:tcW w:type="dxa" w:w="3115"/>
          </w:tcPr>
          <w:p>
            <w:pPr>
              <w:pStyle w:val="null5"/>
              <w:jc w:val="left"/>
            </w:pPr>
            <w:r>
              <w:rPr>
                <w:rFonts w:ascii="仿宋_GB2312" w:hAnsi="仿宋_GB2312" w:cs="仿宋_GB2312" w:eastAsia="仿宋_GB2312"/>
              </w:rPr>
              <w:t>根据投标供应商提供的供货周期保证措施进行评审： 1、供货周期保证措施科学合理且能提供所投货物生产厂家针对本项目供货承诺函的得10分；2、供货周期保证措施较科学合理得7分； 3、供货周期保证措施一般得3分，缺项不得分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产品质量保证措施</w:t>
            </w:r>
          </w:p>
        </w:tc>
        <w:tc>
          <w:tcPr>
            <w:tcW w:type="dxa" w:w="3115"/>
          </w:tcPr>
          <w:p>
            <w:pPr>
              <w:pStyle w:val="null5"/>
              <w:jc w:val="left"/>
            </w:pPr>
            <w:r>
              <w:rPr>
                <w:rFonts w:ascii="仿宋_GB2312" w:hAnsi="仿宋_GB2312" w:cs="仿宋_GB2312" w:eastAsia="仿宋_GB2312"/>
              </w:rPr>
              <w:t>根据投标供应商提供的产品质量保证措施进行评审： 1、措施完善、切实可行、保障有力、能确保产品质量的得10分； 2、措施较完善、较可行、保障较有力、基本能保证产品质量的得7分； 3、技术一般、措施一般、保障一般，产品质量保障措施不合理的得3分，缺项不得分。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应急保障措施</w:t>
            </w:r>
          </w:p>
        </w:tc>
        <w:tc>
          <w:tcPr>
            <w:tcW w:type="dxa" w:w="3115"/>
          </w:tcPr>
          <w:p>
            <w:pPr>
              <w:pStyle w:val="null5"/>
              <w:jc w:val="left"/>
            </w:pPr>
            <w:r>
              <w:rPr>
                <w:rFonts w:ascii="仿宋_GB2312" w:hAnsi="仿宋_GB2312" w:cs="仿宋_GB2312" w:eastAsia="仿宋_GB2312"/>
              </w:rPr>
              <w:t>根据投标供应商针对本项目的应急保障措施进行评审： 1、应急保障措施内容完善、可行性强的得10分； 2、应急保障措施内容基本完善、可行性一般的得7分； 3、应急保障措施内容不完善、可行性较差的得3分，缺项不得分。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根据投标供应商提供的培训方案进行评审： 1、培训方案科学实用、完整可行、内容详细，完全满足项目要求的得8分； 2、培训方案较实用、较可行、内容较详细，满足项目要求的得6分； 3、培训方案基本实用、基本可行、内容较详细，满足项目要求的得4分； 4、培训方案实用性一般、可行性一般、一般详细，能满足项目要求的得2分; 5、无此项内容不得分。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根据投标供应商提供的售后服务内容进行评审： 1、售后服务体系完善，技术支持能力强，有效响应及处理故障时间快，响应程度高或优于采购需求且具有生产厂家售后服务承诺函的得10分； 2、售后服务体系一般，技术支持能力一般，有效响应及处理故障时间一般，响应程度高满足采购需求的得7分； 3、售后服务体系基本满足服务招标要求；但技术支持一般、有效响应及处理故障时间慢的得3分，缺项不得分。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投入人员及设备情况</w:t>
            </w:r>
          </w:p>
        </w:tc>
        <w:tc>
          <w:tcPr>
            <w:tcW w:type="dxa" w:w="3115"/>
          </w:tcPr>
          <w:p>
            <w:pPr>
              <w:pStyle w:val="null5"/>
              <w:jc w:val="left"/>
            </w:pPr>
            <w:r>
              <w:rPr>
                <w:rFonts w:ascii="仿宋_GB2312" w:hAnsi="仿宋_GB2312" w:cs="仿宋_GB2312" w:eastAsia="仿宋_GB2312"/>
              </w:rPr>
              <w:t>根据投标供应商提供的投入人员及设备情况进行评审： 人员及设备配备合理完善的得5分，基本完善的得3分，不完善的得1分，无此项内容不得分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提供近三年来的类似业绩，每有一项同类业绩的得1分，最高分得5分（提供中标通知书或合同）</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根据投标供应商提供的项目实施方案进行评审： 1、内容全面详细，针对性、可操 作性强，完全满足项目要求的得10分； 2、内容较为详细，针对性、可操作 性较强，满足项目要求的得7分； 3、内容偏简单，针对性、可操作性一般 , 基本满足项目要求，存在少量缺漏的得4分； 4、内容简单、可行性差的得2分； 5、无此项内容不得分。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供货周期保证措施</w:t>
            </w:r>
          </w:p>
        </w:tc>
        <w:tc>
          <w:tcPr>
            <w:tcW w:type="dxa" w:w="3115"/>
          </w:tcPr>
          <w:p>
            <w:pPr>
              <w:pStyle w:val="null5"/>
              <w:jc w:val="left"/>
            </w:pPr>
            <w:r>
              <w:rPr>
                <w:rFonts w:ascii="仿宋_GB2312" w:hAnsi="仿宋_GB2312" w:cs="仿宋_GB2312" w:eastAsia="仿宋_GB2312"/>
              </w:rPr>
              <w:t>根据投标供应商提供的供货周期保证措施进行评审： 1、供货周期保证措施科学合理且能提供所投货物生产厂家针对本项目供货承诺函的得10分；2、供货周期保证措施较科学合理得7分； 3、供货周期保证措施一般得3分，缺项不得分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产品质量保证措施</w:t>
            </w:r>
          </w:p>
        </w:tc>
        <w:tc>
          <w:tcPr>
            <w:tcW w:type="dxa" w:w="3115"/>
          </w:tcPr>
          <w:p>
            <w:pPr>
              <w:pStyle w:val="null5"/>
              <w:jc w:val="left"/>
            </w:pPr>
            <w:r>
              <w:rPr>
                <w:rFonts w:ascii="仿宋_GB2312" w:hAnsi="仿宋_GB2312" w:cs="仿宋_GB2312" w:eastAsia="仿宋_GB2312"/>
              </w:rPr>
              <w:t>根据投标供应商提供的产品质量保证措施进行评审： 1、措施完善、切实可行、保障有力、能确保产品质量的得10分； 2、措施较完善、较可行、保障较有力、基本能保证产品质量的得7分； 3、技术一般、措施一般、保障一般，产品质量保障措施不合理的得3分，缺项不得分。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应急保障措施</w:t>
            </w:r>
          </w:p>
        </w:tc>
        <w:tc>
          <w:tcPr>
            <w:tcW w:type="dxa" w:w="3115"/>
          </w:tcPr>
          <w:p>
            <w:pPr>
              <w:pStyle w:val="null5"/>
              <w:jc w:val="left"/>
            </w:pPr>
            <w:r>
              <w:rPr>
                <w:rFonts w:ascii="仿宋_GB2312" w:hAnsi="仿宋_GB2312" w:cs="仿宋_GB2312" w:eastAsia="仿宋_GB2312"/>
              </w:rPr>
              <w:t>根据投标供应商针对本项目的应急保障措施进行评审： 1、应急保障措施内容完善、可行性强的得10分； 2、应急保障措施内容基本完善、可行性一般的得7分； 3、应急保障措施内容不完善、可行性较差的得3分，缺项不得分。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根据投标供应商提供的培训方案进行评审： 1、培训方案科学实用、完整可行、内容详细，完全满足项目要求的得8分； 2、培训方案较实用、较可行、内容较详细，满足项目要求的得6分； 3、培训方案基本实用、基本可行、内容较详细，满足项目要求的得4分； 4、培训方案实用性一般、可行性一般、一般详细，能满足项目要求的得2分; 5、无此项内容不得分。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根据投标供应商提供的售后服务内容进行评审： 1、售后服务体系完善，技术支持能力强，有效响应及处理故障时间快，响应程度高或优于采购需求且具有生产厂家售后服务承诺函的得10分； 2、售后服务体系一般，技术支持能力一般，有效响应及处理故障时间一般，响应程度高满足采购需求的得7分； 3、售后服务体系基本满足服务招标要求；但技术支持一般、有效响应及处理故障时间慢的得3分，缺项不得分。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投入人员及设备情况</w:t>
            </w:r>
          </w:p>
        </w:tc>
        <w:tc>
          <w:tcPr>
            <w:tcW w:type="dxa" w:w="3115"/>
          </w:tcPr>
          <w:p>
            <w:pPr>
              <w:pStyle w:val="null5"/>
              <w:jc w:val="left"/>
            </w:pPr>
            <w:r>
              <w:rPr>
                <w:rFonts w:ascii="仿宋_GB2312" w:hAnsi="仿宋_GB2312" w:cs="仿宋_GB2312" w:eastAsia="仿宋_GB2312"/>
              </w:rPr>
              <w:t>根据投标供应商提供的投入人员及设备情况进行评审： 人员及设备配备合理完善的得5分，基本完善的得3分，不完善的得1分，无此项内容不得分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提供近三年来的类似业绩，每有一项同类业绩的得1分，最高分得5分（提供中标通知书或合同）</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根据投标供应商提供的项目实施方案进行评审： 1、内容全面详细，针对性、可操 作性强，完全满足项目要求的得10分； 2、内容较为详细，针对性、可操作 性较强，满足项目要求的得7分； 3、内容偏简单，针对性、可操作性一般 , 基本满足项目要求，存在少量缺漏的得4分； 4、内容简单、可行性差的得2分； 5、无此项内容不得分。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供货周期保证措施</w:t>
            </w:r>
          </w:p>
        </w:tc>
        <w:tc>
          <w:tcPr>
            <w:tcW w:type="dxa" w:w="3115"/>
          </w:tcPr>
          <w:p>
            <w:pPr>
              <w:pStyle w:val="null5"/>
              <w:jc w:val="left"/>
            </w:pPr>
            <w:r>
              <w:rPr>
                <w:rFonts w:ascii="仿宋_GB2312" w:hAnsi="仿宋_GB2312" w:cs="仿宋_GB2312" w:eastAsia="仿宋_GB2312"/>
              </w:rPr>
              <w:t>根据投标供应商提供的供货周期保证措施进行评审： 1、供货周期保证措施科学合理且能提供所投货物生产厂家针对本项目供货承诺函的得10分；2、供货周期保证措施较科学合理得7分； 3、供货周期保证措施一般得3分，缺项不得分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产品质量保证措施</w:t>
            </w:r>
          </w:p>
        </w:tc>
        <w:tc>
          <w:tcPr>
            <w:tcW w:type="dxa" w:w="3115"/>
          </w:tcPr>
          <w:p>
            <w:pPr>
              <w:pStyle w:val="null5"/>
              <w:jc w:val="left"/>
            </w:pPr>
            <w:r>
              <w:rPr>
                <w:rFonts w:ascii="仿宋_GB2312" w:hAnsi="仿宋_GB2312" w:cs="仿宋_GB2312" w:eastAsia="仿宋_GB2312"/>
              </w:rPr>
              <w:t>根据投标供应商提供的产品质量保证措施进行评审： 1、措施完善、切实可行、保障有力、能确保产品质量的得10分； 2、措施较完善、较可行、保障较有力、基本能保证产品质量的得7分； 3、技术一般、措施一般、保障一般，产品质量保障措施不合理的得3分，缺项不得分。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应急保障措施</w:t>
            </w:r>
          </w:p>
        </w:tc>
        <w:tc>
          <w:tcPr>
            <w:tcW w:type="dxa" w:w="3115"/>
          </w:tcPr>
          <w:p>
            <w:pPr>
              <w:pStyle w:val="null5"/>
              <w:jc w:val="left"/>
            </w:pPr>
            <w:r>
              <w:rPr>
                <w:rFonts w:ascii="仿宋_GB2312" w:hAnsi="仿宋_GB2312" w:cs="仿宋_GB2312" w:eastAsia="仿宋_GB2312"/>
              </w:rPr>
              <w:t>根据投标供应商针对本项目的应急保障措施进行评审： 1、应急保障措施内容完善、可行性强的得10分； 2、应急保障措施内容基本完善、可行性一般的得7分； 3、应急保障措施内容不完善、可行性较差的得3分，缺项不得分。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根据投标供应商提供的培训方案进行评审： 1、培训方案科学实用、完整可行、内容详细，完全满足项目要求的得8分； 2、培训方案较实用、较可行、内容较详细，满足项目要求的得6分； 3、培训方案基本实用、基本可行、内容较详细，满足项目要求的得4分； 4、培训方案实用性一般、可行性一般、一般详细，能满足项目要求的得2分; 5、无此项内容不得分。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根据投标供应商提供的售后服务内容进行评审： 1、售后服务体系完善，技术支持能力强，有效响应及处理故障时间快，响应程度高或优于采购需求且具有生产厂家售后服务承诺函的得10分； 2、售后服务体系一般，技术支持能力一般，有效响应及处理故障时间一般，响应程度高满足采购需求的得7分； 3、售后服务体系基本满足服务招标要求；但技术支持一般、有效响应及处理故障时间慢的得3分，缺项不得分。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投入人员及设备情况</w:t>
            </w:r>
          </w:p>
        </w:tc>
        <w:tc>
          <w:tcPr>
            <w:tcW w:type="dxa" w:w="3115"/>
          </w:tcPr>
          <w:p>
            <w:pPr>
              <w:pStyle w:val="null5"/>
              <w:jc w:val="left"/>
            </w:pPr>
            <w:r>
              <w:rPr>
                <w:rFonts w:ascii="仿宋_GB2312" w:hAnsi="仿宋_GB2312" w:cs="仿宋_GB2312" w:eastAsia="仿宋_GB2312"/>
              </w:rPr>
              <w:t>根据投标供应商提供的投入人员及设备情况进行评审： 人员及设备配备合理完善的得5分，基本完善的得3分，不完善的得1分，无此项内容不得分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提供近三年来的类似业绩，每有一项同类业绩的得1分，最高分得5分（提供中标通知书或合同）</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