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C5959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职业教育提升项目（</w:t>
      </w:r>
      <w:bookmarkStart w:id="2" w:name="_GoBack"/>
      <w:bookmarkEnd w:id="2"/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服务部分）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三包：教师教学能力提升培训、工作室建设及研学项目参数及技术要求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602"/>
        <w:gridCol w:w="3785"/>
        <w:gridCol w:w="874"/>
        <w:gridCol w:w="1247"/>
      </w:tblGrid>
      <w:tr w14:paraId="1004B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Align w:val="center"/>
          </w:tcPr>
          <w:p w14:paraId="6E1246A7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bookmarkStart w:id="0" w:name="OLE_LINK20"/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序号</w:t>
            </w:r>
          </w:p>
        </w:tc>
        <w:tc>
          <w:tcPr>
            <w:tcW w:w="3161" w:type="pct"/>
            <w:gridSpan w:val="2"/>
            <w:vAlign w:val="center"/>
          </w:tcPr>
          <w:p w14:paraId="10AF3CEC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建设内容</w:t>
            </w:r>
          </w:p>
        </w:tc>
        <w:tc>
          <w:tcPr>
            <w:tcW w:w="513" w:type="pct"/>
            <w:vAlign w:val="center"/>
          </w:tcPr>
          <w:p w14:paraId="3EB5FA1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数量</w:t>
            </w:r>
          </w:p>
        </w:tc>
        <w:tc>
          <w:tcPr>
            <w:tcW w:w="731" w:type="pct"/>
            <w:vAlign w:val="center"/>
          </w:tcPr>
          <w:p w14:paraId="6648C04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  <w:t>单价</w:t>
            </w: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/元</w:t>
            </w:r>
          </w:p>
        </w:tc>
      </w:tr>
      <w:tr w14:paraId="39B4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restart"/>
            <w:vAlign w:val="center"/>
          </w:tcPr>
          <w:p w14:paraId="20FDDDA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40" w:type="pct"/>
            <w:vMerge w:val="restart"/>
            <w:tcBorders>
              <w:right w:val="single" w:color="auto" w:sz="6" w:space="0"/>
            </w:tcBorders>
            <w:vAlign w:val="center"/>
          </w:tcPr>
          <w:p w14:paraId="462C892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工作室建设</w:t>
            </w:r>
          </w:p>
        </w:tc>
        <w:tc>
          <w:tcPr>
            <w:tcW w:w="2221" w:type="pct"/>
            <w:tcBorders>
              <w:right w:val="single" w:color="auto" w:sz="6" w:space="0"/>
            </w:tcBorders>
          </w:tcPr>
          <w:p w14:paraId="5D2978CF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石榴籽名班主任工作室</w:t>
            </w:r>
          </w:p>
        </w:tc>
        <w:tc>
          <w:tcPr>
            <w:tcW w:w="513" w:type="pct"/>
            <w:tcBorders>
              <w:left w:val="single" w:color="auto" w:sz="6" w:space="0"/>
            </w:tcBorders>
            <w:vAlign w:val="center"/>
          </w:tcPr>
          <w:p w14:paraId="3596C6A8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1个</w:t>
            </w:r>
          </w:p>
        </w:tc>
        <w:tc>
          <w:tcPr>
            <w:tcW w:w="731" w:type="pct"/>
            <w:tcBorders>
              <w:left w:val="single" w:color="auto" w:sz="6" w:space="0"/>
            </w:tcBorders>
            <w:vAlign w:val="center"/>
          </w:tcPr>
          <w:p w14:paraId="744FEFEC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54155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continue"/>
            <w:vAlign w:val="center"/>
          </w:tcPr>
          <w:p w14:paraId="3838477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940" w:type="pct"/>
            <w:vMerge w:val="continue"/>
            <w:tcBorders>
              <w:right w:val="single" w:color="auto" w:sz="6" w:space="0"/>
            </w:tcBorders>
            <w:vAlign w:val="center"/>
          </w:tcPr>
          <w:p w14:paraId="621B009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2221" w:type="pct"/>
            <w:tcBorders>
              <w:right w:val="single" w:color="auto" w:sz="6" w:space="0"/>
            </w:tcBorders>
          </w:tcPr>
          <w:p w14:paraId="40F18E12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郭凤鹏名校长工作室</w:t>
            </w:r>
          </w:p>
        </w:tc>
        <w:tc>
          <w:tcPr>
            <w:tcW w:w="513" w:type="pct"/>
            <w:tcBorders>
              <w:left w:val="single" w:color="auto" w:sz="6" w:space="0"/>
            </w:tcBorders>
            <w:vAlign w:val="center"/>
          </w:tcPr>
          <w:p w14:paraId="0DE428C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1个</w:t>
            </w:r>
          </w:p>
        </w:tc>
        <w:tc>
          <w:tcPr>
            <w:tcW w:w="731" w:type="pct"/>
            <w:tcBorders>
              <w:left w:val="single" w:color="auto" w:sz="6" w:space="0"/>
            </w:tcBorders>
            <w:vAlign w:val="center"/>
          </w:tcPr>
          <w:p w14:paraId="04FC09EC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2F18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restart"/>
            <w:vAlign w:val="center"/>
          </w:tcPr>
          <w:p w14:paraId="4F9E262E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940" w:type="pct"/>
            <w:vMerge w:val="restart"/>
            <w:vAlign w:val="center"/>
          </w:tcPr>
          <w:p w14:paraId="012B8E9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师资培训</w:t>
            </w:r>
          </w:p>
        </w:tc>
        <w:tc>
          <w:tcPr>
            <w:tcW w:w="2221" w:type="pct"/>
          </w:tcPr>
          <w:p w14:paraId="4CFF759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数字化转型赋能精细管理，职教改革引领治理升级</w:t>
            </w:r>
          </w:p>
        </w:tc>
        <w:tc>
          <w:tcPr>
            <w:tcW w:w="513" w:type="pct"/>
            <w:vAlign w:val="center"/>
          </w:tcPr>
          <w:p w14:paraId="7F096B66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1" w:type="pct"/>
            <w:vMerge w:val="restart"/>
            <w:vAlign w:val="center"/>
          </w:tcPr>
          <w:p w14:paraId="276A2BA2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081FD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continue"/>
            <w:vAlign w:val="center"/>
          </w:tcPr>
          <w:p w14:paraId="4158FD6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940" w:type="pct"/>
            <w:vMerge w:val="continue"/>
            <w:vAlign w:val="center"/>
          </w:tcPr>
          <w:p w14:paraId="0DFEC1D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2221" w:type="pct"/>
          </w:tcPr>
          <w:p w14:paraId="015E67DD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AI技术助推教研创新，职教成果转化实践赋能</w:t>
            </w:r>
          </w:p>
        </w:tc>
        <w:tc>
          <w:tcPr>
            <w:tcW w:w="513" w:type="pct"/>
            <w:vAlign w:val="center"/>
          </w:tcPr>
          <w:p w14:paraId="1DC34335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1" w:type="pct"/>
            <w:vMerge w:val="continue"/>
            <w:vAlign w:val="center"/>
          </w:tcPr>
          <w:p w14:paraId="66F60B6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7925C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continue"/>
            <w:vAlign w:val="center"/>
          </w:tcPr>
          <w:p w14:paraId="3E3D0ED6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940" w:type="pct"/>
            <w:vMerge w:val="continue"/>
            <w:vAlign w:val="center"/>
          </w:tcPr>
          <w:p w14:paraId="476F088D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2221" w:type="pct"/>
          </w:tcPr>
          <w:p w14:paraId="09A7D6C7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教学能力大赛及技能大赛培训指导</w:t>
            </w:r>
          </w:p>
        </w:tc>
        <w:tc>
          <w:tcPr>
            <w:tcW w:w="513" w:type="pct"/>
            <w:vAlign w:val="center"/>
          </w:tcPr>
          <w:p w14:paraId="06E743B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bookmarkStart w:id="1" w:name="OLE_LINK18"/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  <w:bookmarkEnd w:id="1"/>
          </w:p>
        </w:tc>
        <w:tc>
          <w:tcPr>
            <w:tcW w:w="731" w:type="pct"/>
            <w:vAlign w:val="center"/>
          </w:tcPr>
          <w:p w14:paraId="711CCE5D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785A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restart"/>
            <w:vAlign w:val="center"/>
          </w:tcPr>
          <w:p w14:paraId="5F402BD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940" w:type="pct"/>
            <w:vMerge w:val="restart"/>
            <w:vAlign w:val="center"/>
          </w:tcPr>
          <w:p w14:paraId="3BDF612D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学生研学</w:t>
            </w:r>
          </w:p>
        </w:tc>
        <w:tc>
          <w:tcPr>
            <w:tcW w:w="2221" w:type="pct"/>
          </w:tcPr>
          <w:p w14:paraId="22C1E491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北京研学</w:t>
            </w:r>
          </w:p>
        </w:tc>
        <w:tc>
          <w:tcPr>
            <w:tcW w:w="513" w:type="pct"/>
            <w:vAlign w:val="center"/>
          </w:tcPr>
          <w:p w14:paraId="039FD56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1" w:type="pct"/>
            <w:vAlign w:val="center"/>
          </w:tcPr>
          <w:p w14:paraId="25CB03B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2551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Merge w:val="continue"/>
            <w:vAlign w:val="center"/>
          </w:tcPr>
          <w:p w14:paraId="474ED625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940" w:type="pct"/>
            <w:vMerge w:val="continue"/>
            <w:vAlign w:val="center"/>
          </w:tcPr>
          <w:p w14:paraId="367A3111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2221" w:type="pct"/>
          </w:tcPr>
          <w:p w14:paraId="2318EE8F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哈尔滨研学</w:t>
            </w:r>
          </w:p>
        </w:tc>
        <w:tc>
          <w:tcPr>
            <w:tcW w:w="513" w:type="pct"/>
            <w:vAlign w:val="center"/>
          </w:tcPr>
          <w:p w14:paraId="08B93B0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1套</w:t>
            </w:r>
          </w:p>
        </w:tc>
        <w:tc>
          <w:tcPr>
            <w:tcW w:w="731" w:type="pct"/>
            <w:vAlign w:val="center"/>
          </w:tcPr>
          <w:p w14:paraId="451A844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65BD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5" w:type="pct"/>
            <w:vAlign w:val="center"/>
          </w:tcPr>
          <w:p w14:paraId="4ED7E06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合计</w:t>
            </w:r>
          </w:p>
        </w:tc>
        <w:tc>
          <w:tcPr>
            <w:tcW w:w="4405" w:type="pct"/>
            <w:gridSpan w:val="4"/>
          </w:tcPr>
          <w:p w14:paraId="4AC79572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</w:p>
        </w:tc>
      </w:tr>
      <w:bookmarkEnd w:id="0"/>
    </w:tbl>
    <w:p w14:paraId="221C942A">
      <w:pPr>
        <w:rPr>
          <w:rFonts w:hint="eastAsia"/>
          <w:b/>
          <w:bCs/>
        </w:rPr>
      </w:pPr>
    </w:p>
    <w:p w14:paraId="1F4C75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CF"/>
    <w:rsid w:val="00182D71"/>
    <w:rsid w:val="002003CF"/>
    <w:rsid w:val="00A8182B"/>
    <w:rsid w:val="00FD5C6D"/>
    <w:rsid w:val="3A3C233D"/>
    <w:rsid w:val="4276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仿宋" w:hAnsi="仿宋" w:eastAsia="仿宋" w:cs="仿宋"/>
      <w:kern w:val="0"/>
      <w:sz w:val="22"/>
      <w:szCs w:val="22"/>
      <w:lang w:val="zh-CN" w:eastAsia="zh-CN" w:bidi="zh-CN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hAnsiTheme="minorHAnsi" w:eastAsiaTheme="minorEastAsia" w:cstheme="majorBidi"/>
      <w:color w:val="2F5597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hAnsiTheme="minorHAnsi" w:eastAsiaTheme="minorEastAsia" w:cstheme="majorBidi"/>
      <w:color w:val="2F5597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autoSpaceDE/>
      <w:autoSpaceDN/>
      <w:spacing w:before="40" w:line="278" w:lineRule="auto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kern w:val="2"/>
      <w:szCs w:val="24"/>
      <w:lang w:val="en-US" w:bidi="ar-SA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autoSpaceDE/>
      <w:autoSpaceDN/>
      <w:spacing w:before="40" w:line="278" w:lineRule="auto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Cs w:val="24"/>
      <w:lang w:val="en-US" w:bidi="ar-SA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autoSpaceDE/>
      <w:autoSpaceDN/>
      <w:spacing w:line="278" w:lineRule="auto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Cs w:val="24"/>
      <w:lang w:val="en-US" w:bidi="ar-SA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autoSpaceDE/>
      <w:autoSpaceDN/>
      <w:spacing w:line="278" w:lineRule="auto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Cs w:val="24"/>
      <w:lang w:val="en-US" w:bidi="ar-SA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4"/>
    <w:semiHidden/>
    <w:unhideWhenUsed/>
    <w:qFormat/>
    <w:uiPriority w:val="99"/>
    <w:pPr>
      <w:spacing w:after="120"/>
    </w:pPr>
  </w:style>
  <w:style w:type="paragraph" w:styleId="12">
    <w:name w:val="Subtitle"/>
    <w:basedOn w:val="1"/>
    <w:next w:val="1"/>
    <w:link w:val="26"/>
    <w:qFormat/>
    <w:uiPriority w:val="11"/>
    <w:pPr>
      <w:autoSpaceDE/>
      <w:autoSpaceDN/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:lang w:val="en-US" w:bidi="ar-SA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5"/>
    <w:qFormat/>
    <w:uiPriority w:val="10"/>
    <w:pPr>
      <w:autoSpaceDE/>
      <w:autoSpaceDN/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autoSpaceDE/>
      <w:autoSpaceDN/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Cs w:val="24"/>
      <w:lang w:val="en-US" w:bidi="ar-SA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autoSpaceDE/>
      <w:autoSpaceDN/>
      <w:spacing w:after="160" w:line="278" w:lineRule="auto"/>
      <w:ind w:left="720"/>
      <w:contextualSpacing/>
    </w:pPr>
    <w:rPr>
      <w:rFonts w:asciiTheme="minorHAnsi" w:hAnsiTheme="minorHAnsi" w:eastAsiaTheme="minorEastAsia" w:cstheme="minorBidi"/>
      <w:kern w:val="2"/>
      <w:szCs w:val="24"/>
      <w:lang w:val="en-US" w:bidi="ar-SA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正文文本 字符"/>
    <w:basedOn w:val="15"/>
    <w:link w:val="11"/>
    <w:semiHidden/>
    <w:qFormat/>
    <w:uiPriority w:val="99"/>
    <w:rPr>
      <w:rFonts w:ascii="仿宋" w:hAnsi="仿宋" w:eastAsia="仿宋" w:cs="仿宋"/>
      <w:kern w:val="0"/>
      <w:szCs w:val="22"/>
      <w:lang w:val="zh-CN" w:bidi="zh-CN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179</Characters>
  <Lines>14</Lines>
  <Paragraphs>17</Paragraphs>
  <TotalTime>1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2025-09-08T09:44:00Z</dcterms:created>
  <dc:creator>Administrator</dc:creator>
  <cp:lastModifiedBy>是阿曹么</cp:lastModifiedBy>
  <dcterms:modified xsi:type="dcterms:W3CDTF">2025-09-09T08:29:36Z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eyJoZGlkIjoiZDU1Y2ExZjJjZjVlNjZiOGEyYzdlZjRlZjE0ODA4ZDAiLCJ1c2VySWQiOiI1OTM4MTQxMTgifQ==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25D200AE8E6D4FF68C68760322AC2D97_13</vt:lpwstr>
  </property>
</Properties>
</file>