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义务教育学校智慧黑板采购项目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突泉县教育局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上励建设工程有限公司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152224-SLJS-GK-20250001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上励建设工程有限公司</w:t>
      </w:r>
      <w:r>
        <w:rPr>
          <w:rFonts w:ascii="仿宋_GB2312" w:hAnsi="仿宋_GB2312" w:cs="仿宋_GB2312" w:eastAsia="仿宋_GB2312"/>
        </w:rPr>
        <w:t xml:space="preserve"> 受 </w:t>
      </w:r>
      <w:r>
        <w:rPr>
          <w:rFonts w:ascii="仿宋_GB2312" w:hAnsi="仿宋_GB2312" w:cs="仿宋_GB2312" w:eastAsia="仿宋_GB2312"/>
        </w:rPr>
        <w:t>突泉县教育局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义务教育学校智慧黑板采购项目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义务教育学校智慧黑板采购项目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152224-SLJS-GK-20250001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突财购计划[2025]00011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货物</w:t>
            </w:r>
          </w:p>
        </w:tc>
        <w:tc>
          <w:tcPr>
            <w:tcW w:type="dxa" w:w="831"/>
          </w:tcPr>
          <w:p>
            <w:pPr>
              <w:pStyle w:val="null5"/>
              <w:jc w:val="right"/>
            </w:pPr>
            <w:r>
              <w:rPr>
                <w:rFonts w:ascii="仿宋_GB2312" w:hAnsi="仿宋_GB2312" w:cs="仿宋_GB2312" w:eastAsia="仿宋_GB2312"/>
              </w:rPr>
              <w:t>85.00</w:t>
            </w:r>
          </w:p>
        </w:tc>
        <w:tc>
          <w:tcPr>
            <w:tcW w:type="dxa" w:w="831"/>
          </w:tcPr>
          <w:p>
            <w:pPr>
              <w:pStyle w:val="null5"/>
              <w:jc w:val="right"/>
            </w:pPr>
            <w:r>
              <w:rPr>
                <w:rFonts w:ascii="仿宋_GB2312" w:hAnsi="仿宋_GB2312" w:cs="仿宋_GB2312" w:eastAsia="仿宋_GB2312"/>
              </w:rPr>
              <w:t>2,380,000.00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上励建设工程有限公司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内蒙古兴安盟科右前旗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包先生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18204841915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突泉县教育局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突泉县</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刘志民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15904829123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突泉县教育局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上励建设工程有限公司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详见招标文件及附件参数。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30个日历日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1、合同签定之日，达到付款条件起5日，支付合同总金额的30.00%</w:t>
            </w:r>
          </w:p>
          <w:p>
            <w:pPr>
              <w:pStyle w:val="null5"/>
              <w:jc w:val="left"/>
            </w:pPr>
            <w:r>
              <w:rPr>
                <w:rFonts w:ascii="仿宋_GB2312" w:hAnsi="仿宋_GB2312" w:cs="仿宋_GB2312" w:eastAsia="仿宋_GB2312"/>
              </w:rPr>
              <w:t>2、货物送达，达到付款条件起5日，支付合同总金额的60.00%</w:t>
            </w:r>
          </w:p>
          <w:p>
            <w:pPr>
              <w:pStyle w:val="null5"/>
              <w:jc w:val="left"/>
            </w:pPr>
            <w:r>
              <w:rPr>
                <w:rFonts w:ascii="仿宋_GB2312" w:hAnsi="仿宋_GB2312" w:cs="仿宋_GB2312" w:eastAsia="仿宋_GB2312"/>
              </w:rPr>
              <w:t>3、货物验收合格后，达到付款条件起5日，支付合同总金额的10.00%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4"/>
              <w:gridCol w:w="2863"/>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智慧黑板</w:t>
                  </w:r>
                </w:p>
              </w:tc>
              <w:tc>
                <w:tcPr>
                  <w:tcW w:type="dxa" w:w="2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numPr>
                      <w:ilvl w:val="0"/>
                      <w:numId w:val="1"/>
                    </w:numPr>
                    <w:jc w:val="left"/>
                  </w:pPr>
                  <w:r>
                    <w:rPr>
                      <w:rFonts w:ascii="仿宋_GB2312" w:hAnsi="仿宋_GB2312" w:cs="仿宋_GB2312" w:eastAsia="仿宋_GB2312"/>
                      <w:sz w:val="21"/>
                    </w:rPr>
                    <w:t>整机采用全金属外壳，三拼接平面一体化无推拉式结构设计，外观尺寸：宽</w:t>
                  </w:r>
                  <w:r>
                    <w:rPr>
                      <w:rFonts w:ascii="仿宋_GB2312" w:hAnsi="仿宋_GB2312" w:cs="仿宋_GB2312" w:eastAsia="仿宋_GB2312"/>
                      <w:sz w:val="21"/>
                    </w:rPr>
                    <w:t>≥4200mm，高≥1200mm，厚≤1</w:t>
                  </w:r>
                  <w:r>
                    <w:rPr>
                      <w:rFonts w:ascii="仿宋_GB2312" w:hAnsi="仿宋_GB2312" w:cs="仿宋_GB2312" w:eastAsia="仿宋_GB2312"/>
                      <w:sz w:val="21"/>
                    </w:rPr>
                    <w:t>17</w:t>
                  </w:r>
                  <w:r>
                    <w:rPr>
                      <w:rFonts w:ascii="仿宋_GB2312" w:hAnsi="仿宋_GB2312" w:cs="仿宋_GB2312" w:eastAsia="仿宋_GB2312"/>
                      <w:sz w:val="21"/>
                    </w:rPr>
                    <w:t>mm</w:t>
                  </w:r>
                  <w:r>
                    <w:rPr>
                      <w:rFonts w:ascii="仿宋_GB2312" w:hAnsi="仿宋_GB2312" w:cs="仿宋_GB2312" w:eastAsia="仿宋_GB2312"/>
                      <w:sz w:val="21"/>
                    </w:rPr>
                    <w:t>。</w:t>
                  </w:r>
                </w:p>
                <w:p>
                  <w:pPr>
                    <w:pStyle w:val="null5"/>
                    <w:numPr>
                      <w:ilvl w:val="0"/>
                      <w:numId w:val="1"/>
                    </w:numPr>
                    <w:jc w:val="left"/>
                  </w:pPr>
                  <w:r>
                    <w:rPr>
                      <w:rFonts w:ascii="仿宋_GB2312" w:hAnsi="仿宋_GB2312" w:cs="仿宋_GB2312" w:eastAsia="仿宋_GB2312"/>
                      <w:sz w:val="21"/>
                    </w:rPr>
                    <w:t>整机屏幕采用</w:t>
                  </w:r>
                  <w:r>
                    <w:rPr>
                      <w:rFonts w:ascii="仿宋_GB2312" w:hAnsi="仿宋_GB2312" w:cs="仿宋_GB2312" w:eastAsia="仿宋_GB2312"/>
                      <w:sz w:val="21"/>
                    </w:rPr>
                    <w:t>86英寸液晶显示器,显示比例16:9，分辨率3840×2160,整机背光系统支持DC调光方式，多级亮度调节，支持白颜色背景下最暗亮度≤100nit，用于提升显示对比度。</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嵌入式系统版本不低于</w:t>
                  </w:r>
                  <w:r>
                    <w:rPr>
                      <w:rFonts w:ascii="仿宋_GB2312" w:hAnsi="仿宋_GB2312" w:cs="仿宋_GB2312" w:eastAsia="仿宋_GB2312"/>
                      <w:sz w:val="21"/>
                    </w:rPr>
                    <w:t>Android 1</w:t>
                  </w:r>
                  <w:r>
                    <w:rPr>
                      <w:rFonts w:ascii="仿宋_GB2312" w:hAnsi="仿宋_GB2312" w:cs="仿宋_GB2312" w:eastAsia="仿宋_GB2312"/>
                      <w:sz w:val="21"/>
                    </w:rPr>
                    <w:t>4</w:t>
                  </w:r>
                  <w:r>
                    <w:rPr>
                      <w:rFonts w:ascii="仿宋_GB2312" w:hAnsi="仿宋_GB2312" w:cs="仿宋_GB2312" w:eastAsia="仿宋_GB2312"/>
                      <w:sz w:val="21"/>
                    </w:rPr>
                    <w:t>，主频</w:t>
                  </w:r>
                  <w:r>
                    <w:rPr>
                      <w:rFonts w:ascii="仿宋_GB2312" w:hAnsi="仿宋_GB2312" w:cs="仿宋_GB2312" w:eastAsia="仿宋_GB2312"/>
                      <w:sz w:val="21"/>
                    </w:rPr>
                    <w:t>≥1.8GHz，内存≥2GB，存储空间≥8GB。(提供检测报告复印件)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红外</w:t>
                  </w:r>
                  <w:r>
                    <w:rPr>
                      <w:rFonts w:ascii="仿宋_GB2312" w:hAnsi="仿宋_GB2312" w:cs="仿宋_GB2312" w:eastAsia="仿宋_GB2312"/>
                      <w:sz w:val="21"/>
                    </w:rPr>
                    <w:t>触控技术，支持</w:t>
                  </w:r>
                  <w:r>
                    <w:rPr>
                      <w:rFonts w:ascii="仿宋_GB2312" w:hAnsi="仿宋_GB2312" w:cs="仿宋_GB2312" w:eastAsia="仿宋_GB2312"/>
                      <w:sz w:val="21"/>
                    </w:rPr>
                    <w:t>Windows系统中进行40点或以上触控，支持在Android系统中进行40点或以上触控,书写触控延迟≤25ms。(提供检测报告复印件)</w:t>
                  </w:r>
                </w:p>
                <w:p>
                  <w:pPr>
                    <w:pStyle w:val="null5"/>
                    <w:numPr>
                      <w:ilvl w:val="0"/>
                      <w:numId w:val="1"/>
                    </w:numPr>
                    <w:jc w:val="left"/>
                  </w:pPr>
                  <w:r>
                    <w:rPr>
                      <w:rFonts w:ascii="仿宋_GB2312" w:hAnsi="仿宋_GB2312" w:cs="仿宋_GB2312" w:eastAsia="仿宋_GB2312"/>
                      <w:sz w:val="21"/>
                    </w:rPr>
                    <w:t>支持智能板擦功能，系统可根据触控物体的形状自动识别出实物板擦，可擦除电子白板中的内容，无需依赖外部电子设备。</w:t>
                  </w:r>
                </w:p>
                <w:p>
                  <w:pPr>
                    <w:pStyle w:val="null5"/>
                    <w:numPr>
                      <w:ilvl w:val="0"/>
                      <w:numId w:val="1"/>
                    </w:numPr>
                    <w:jc w:val="left"/>
                  </w:pPr>
                  <w:r>
                    <w:rPr>
                      <w:rFonts w:ascii="仿宋_GB2312" w:hAnsi="仿宋_GB2312" w:cs="仿宋_GB2312" w:eastAsia="仿宋_GB2312"/>
                      <w:sz w:val="21"/>
                    </w:rPr>
                    <w:t>整机支持提笔书写，在</w:t>
                  </w:r>
                  <w:r>
                    <w:rPr>
                      <w:rFonts w:ascii="仿宋_GB2312" w:hAnsi="仿宋_GB2312" w:cs="仿宋_GB2312" w:eastAsia="仿宋_GB2312"/>
                      <w:sz w:val="21"/>
                    </w:rPr>
                    <w:t>Windows系统下可实现无需点击任意功能入口，当检测到触控笔笔尖接触屏幕时，自动进入书写模式。</w:t>
                  </w:r>
                </w:p>
                <w:p>
                  <w:pPr>
                    <w:pStyle w:val="null5"/>
                    <w:numPr>
                      <w:ilvl w:val="0"/>
                      <w:numId w:val="1"/>
                    </w:numPr>
                    <w:jc w:val="left"/>
                  </w:pPr>
                  <w:r>
                    <w:rPr>
                      <w:rFonts w:ascii="仿宋_GB2312" w:hAnsi="仿宋_GB2312" w:cs="仿宋_GB2312" w:eastAsia="仿宋_GB2312"/>
                      <w:sz w:val="21"/>
                    </w:rPr>
                    <w:t>支持智能书写功能，书写文字自动识别为标准印刷体，支持图形识别功能，可将多种手绘图形转化为矩形、三角形、圆形等标准图形。</w:t>
                  </w:r>
                </w:p>
                <w:p>
                  <w:pPr>
                    <w:pStyle w:val="null5"/>
                    <w:numPr>
                      <w:ilvl w:val="0"/>
                      <w:numId w:val="1"/>
                    </w:numPr>
                    <w:jc w:val="left"/>
                  </w:pPr>
                  <w:r>
                    <w:rPr>
                      <w:rFonts w:ascii="仿宋_GB2312" w:hAnsi="仿宋_GB2312" w:cs="仿宋_GB2312" w:eastAsia="仿宋_GB2312"/>
                      <w:sz w:val="21"/>
                    </w:rPr>
                    <w:t>整机具备</w:t>
                  </w:r>
                  <w:r>
                    <w:rPr>
                      <w:rFonts w:ascii="仿宋_GB2312" w:hAnsi="仿宋_GB2312" w:cs="仿宋_GB2312" w:eastAsia="仿宋_GB2312"/>
                      <w:sz w:val="21"/>
                    </w:rPr>
                    <w:t>≤6个前置按键，可实现开关机、调出中控菜单、音量+/-、护眼、录屏操作。</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整机系统支持手势上滑调出人工智能画质调节模式（</w:t>
                  </w:r>
                  <w:r>
                    <w:rPr>
                      <w:rFonts w:ascii="仿宋_GB2312" w:hAnsi="仿宋_GB2312" w:cs="仿宋_GB2312" w:eastAsia="仿宋_GB2312"/>
                      <w:sz w:val="21"/>
                    </w:rPr>
                    <w:t>AI-PQ），在安卓通道下可根据屏幕内容自动调节画质参数，当屏幕出现人物、建筑、夜景等元素时，自动调整对比度、饱和度、锐利度、色调色相值、高光/阴影。(提供检测报告复印件)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整机支持色彩空间可选，包含标准模式和</w:t>
                  </w:r>
                  <w:r>
                    <w:rPr>
                      <w:rFonts w:ascii="仿宋_GB2312" w:hAnsi="仿宋_GB2312" w:cs="仿宋_GB2312" w:eastAsia="仿宋_GB2312"/>
                      <w:sz w:val="21"/>
                    </w:rPr>
                    <w:t>sRGB模式，在sRGB模式下可做到高色准△E≤1。(提供检测报告复印件)</w:t>
                  </w:r>
                </w:p>
                <w:p>
                  <w:pPr>
                    <w:pStyle w:val="null5"/>
                    <w:numPr>
                      <w:ilvl w:val="0"/>
                      <w:numId w:val="1"/>
                    </w:numPr>
                    <w:jc w:val="left"/>
                  </w:pPr>
                  <w:r>
                    <w:rPr>
                      <w:rFonts w:ascii="仿宋_GB2312" w:hAnsi="仿宋_GB2312" w:cs="仿宋_GB2312" w:eastAsia="仿宋_GB2312"/>
                      <w:sz w:val="21"/>
                    </w:rPr>
                    <w:t>纸质护眼模式下，显示画面各像素点灰度不规则，减少背景干扰。</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整机内置非独立摄像头，采用一体化集成设计，可拍摄</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00万像素数的照片。(提供检测报告复印件)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整机内置非独立广角高清摄像头，视场角</w:t>
                  </w:r>
                  <w:r>
                    <w:rPr>
                      <w:rFonts w:ascii="仿宋_GB2312" w:hAnsi="仿宋_GB2312" w:cs="仿宋_GB2312" w:eastAsia="仿宋_GB2312"/>
                      <w:sz w:val="21"/>
                    </w:rPr>
                    <w:t>≥150度且水平视场角≥120度，支持输出4:3、16:9比例的图片和视频；在清晰度为3840*2160（4K）分辨率下，支持30帧的视频输出，支持画面畸变矫正功能 。(提供检测报告复印件)</w:t>
                  </w:r>
                </w:p>
                <w:p>
                  <w:pPr>
                    <w:pStyle w:val="null5"/>
                    <w:numPr>
                      <w:ilvl w:val="0"/>
                      <w:numId w:val="1"/>
                    </w:numPr>
                    <w:jc w:val="left"/>
                  </w:pPr>
                  <w:r>
                    <w:rPr>
                      <w:rFonts w:ascii="仿宋_GB2312" w:hAnsi="仿宋_GB2312" w:cs="仿宋_GB2312" w:eastAsia="仿宋_GB2312"/>
                      <w:sz w:val="21"/>
                    </w:rPr>
                    <w:t>整机内置非独立的高清摄像头，可用于远程巡课，拍摄范围可以涵盖整机距离摄像头垂直法线左右水平距离各大于等于</w:t>
                  </w:r>
                  <w:r>
                    <w:rPr>
                      <w:rFonts w:ascii="仿宋_GB2312" w:hAnsi="仿宋_GB2312" w:cs="仿宋_GB2312" w:eastAsia="仿宋_GB2312"/>
                      <w:sz w:val="21"/>
                    </w:rPr>
                    <w:t>4米，左右最边缘深度大于等于2.3米范围内，并且可以AI识别人像。</w:t>
                  </w:r>
                </w:p>
                <w:p>
                  <w:pPr>
                    <w:pStyle w:val="null5"/>
                    <w:numPr>
                      <w:ilvl w:val="0"/>
                      <w:numId w:val="1"/>
                    </w:numPr>
                    <w:jc w:val="left"/>
                  </w:pPr>
                  <w:r>
                    <w:rPr>
                      <w:rFonts w:ascii="仿宋_GB2312" w:hAnsi="仿宋_GB2312" w:cs="仿宋_GB2312" w:eastAsia="仿宋_GB2312"/>
                      <w:sz w:val="21"/>
                    </w:rPr>
                    <w:t>整机摄像头支持人脸识别、清点人数、随机抽人；识别所有学生，显示标记，然后随机抽选，同时整机支持通过人脸识别进行登录账号。</w:t>
                  </w:r>
                </w:p>
                <w:p>
                  <w:pPr>
                    <w:pStyle w:val="null5"/>
                    <w:numPr>
                      <w:ilvl w:val="0"/>
                      <w:numId w:val="1"/>
                    </w:numPr>
                    <w:jc w:val="left"/>
                  </w:pPr>
                  <w:r>
                    <w:rPr>
                      <w:rFonts w:ascii="仿宋_GB2312" w:hAnsi="仿宋_GB2312" w:cs="仿宋_GB2312" w:eastAsia="仿宋_GB2312"/>
                      <w:sz w:val="21"/>
                    </w:rPr>
                    <w:t>长时间无人使用屏幕可自动息屏，有效保护屏幕寿命及节能，用户可通过整机内置触摸中控菜单进行开启和关闭，可自定义无人操作息屏时间间隔为</w:t>
                  </w:r>
                  <w:r>
                    <w:rPr>
                      <w:rFonts w:ascii="仿宋_GB2312" w:hAnsi="仿宋_GB2312" w:cs="仿宋_GB2312" w:eastAsia="仿宋_GB2312"/>
                      <w:sz w:val="21"/>
                    </w:rPr>
                    <w:t>1小时、2小时。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整机内置</w:t>
                  </w:r>
                  <w:r>
                    <w:rPr>
                      <w:rFonts w:ascii="仿宋_GB2312" w:hAnsi="仿宋_GB2312" w:cs="仿宋_GB2312" w:eastAsia="仿宋_GB2312"/>
                      <w:sz w:val="21"/>
                    </w:rPr>
                    <w:t>2.2声道扬声器，位于设备上边框，顶置朝前发声，前朝向10W高音扬声器2个，上朝向20W中低音扬声器2个，额定总功率60W。(提供检测报告复印件)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支持标准、听力、观影和</w:t>
                  </w:r>
                  <w:r>
                    <w:rPr>
                      <w:rFonts w:ascii="仿宋_GB2312" w:hAnsi="仿宋_GB2312" w:cs="仿宋_GB2312" w:eastAsia="仿宋_GB2312"/>
                      <w:sz w:val="21"/>
                    </w:rPr>
                    <w:t>AI空间感知音效模式，AI空间感知音效模式可通过内置麦克风采集教室物理环境声音，自动生成符合当前教室物理环境的频段、音量、音效。整机内置扬声器采用缝隙发声技术，喇叭采用槽式开口设计，不大于5.8mm</w:t>
                  </w:r>
                  <w:r>
                    <w:rPr>
                      <w:rFonts w:ascii="仿宋_GB2312" w:hAnsi="仿宋_GB2312" w:cs="仿宋_GB2312" w:eastAsia="仿宋_GB2312"/>
                      <w:sz w:val="21"/>
                    </w:rPr>
                    <w:t>。</w:t>
                  </w:r>
                  <w:r>
                    <w:rPr>
                      <w:rFonts w:ascii="仿宋_GB2312" w:hAnsi="仿宋_GB2312" w:cs="仿宋_GB2312" w:eastAsia="仿宋_GB2312"/>
                      <w:sz w:val="21"/>
                    </w:rPr>
                    <w:t>(提供检测报告复印件)</w:t>
                  </w:r>
                </w:p>
                <w:p>
                  <w:pPr>
                    <w:pStyle w:val="null5"/>
                    <w:numPr>
                      <w:ilvl w:val="0"/>
                      <w:numId w:val="1"/>
                    </w:numPr>
                    <w:jc w:val="left"/>
                  </w:pPr>
                  <w:r>
                    <w:rPr>
                      <w:rFonts w:ascii="仿宋_GB2312" w:hAnsi="仿宋_GB2312" w:cs="仿宋_GB2312" w:eastAsia="仿宋_GB2312"/>
                      <w:sz w:val="21"/>
                    </w:rPr>
                    <w:t>整机无需外接无线网卡，在</w:t>
                  </w:r>
                  <w:r>
                    <w:rPr>
                      <w:rFonts w:ascii="仿宋_GB2312" w:hAnsi="仿宋_GB2312" w:cs="仿宋_GB2312" w:eastAsia="仿宋_GB2312"/>
                      <w:sz w:val="21"/>
                    </w:rPr>
                    <w:t>Android和Windows系统下可实现Wi-Fi无线上网连接、AP无线热点发射和BT蓝牙连接功能。</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整机支持蓝牙</w:t>
                  </w:r>
                  <w:r>
                    <w:rPr>
                      <w:rFonts w:ascii="仿宋_GB2312" w:hAnsi="仿宋_GB2312" w:cs="仿宋_GB2312" w:eastAsia="仿宋_GB2312"/>
                      <w:sz w:val="21"/>
                    </w:rPr>
                    <w:t>Bluetooth 5.4标准，固件版本号HCI13.0/LMP13.0。整机PC端支持主动发现蓝牙外设从而连接（无需整机进入发现模式），支持连接外部蓝牙音箱播放音频。(提供检测报告复印件)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整机支持发出频率为</w:t>
                  </w:r>
                  <w:r>
                    <w:rPr>
                      <w:rFonts w:ascii="仿宋_GB2312" w:hAnsi="仿宋_GB2312" w:cs="仿宋_GB2312" w:eastAsia="仿宋_GB2312"/>
                      <w:sz w:val="21"/>
                    </w:rPr>
                    <w:t>18kHz-22kHz超声波信号，智能手机通过麦克风接收后，智能手机与整机无需在同一局域网内，可实现配对，一键投屏，用户无需手动输入投屏码或扫码获取投屏码；(提供检测报告复印件)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w:t>
                  </w:r>
                  <w:r>
                    <w:rPr>
                      <w:rFonts w:ascii="仿宋_GB2312" w:hAnsi="仿宋_GB2312" w:cs="仿宋_GB2312" w:eastAsia="仿宋_GB2312"/>
                      <w:sz w:val="21"/>
                    </w:rPr>
                    <w:t>Wi-Fi制式支持IEEE 802.11 a/b/g/n/ac/ax；支持版本Wi-Fi6,整机内置双WiFi6无线网卡（不接受外接），在Android和Windows系统下，可实现Wi-Fi无线上网连接、AP无线热点发射。(提供检测报告复印件)</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整机侧边栏内置朗读工具，通过整机麦克风内置音频检测算法监测教室中学生的朗读情况，以游戏化界面呈现朗读积极性，调动学生朗读兴趣。</w:t>
                  </w:r>
                  <w:r>
                    <w:rPr>
                      <w:rFonts w:ascii="仿宋_GB2312" w:hAnsi="仿宋_GB2312" w:cs="仿宋_GB2312" w:eastAsia="仿宋_GB2312"/>
                      <w:sz w:val="21"/>
                    </w:rPr>
                    <w:t>(提供检测报告复印件)</w:t>
                  </w:r>
                </w:p>
                <w:p>
                  <w:pPr>
                    <w:pStyle w:val="null5"/>
                    <w:numPr>
                      <w:ilvl w:val="0"/>
                      <w:numId w:val="1"/>
                    </w:numPr>
                    <w:jc w:val="left"/>
                  </w:pPr>
                  <w:r>
                    <w:rPr>
                      <w:rFonts w:ascii="仿宋_GB2312" w:hAnsi="仿宋_GB2312" w:cs="仿宋_GB2312" w:eastAsia="仿宋_GB2312"/>
                      <w:sz w:val="21"/>
                    </w:rPr>
                    <w:t>整机设备教学桌面的教师登录账号后，可自动获取并在桌面显示最近使用的教学课件，点击课件可直接进入授课模式；并支持查看所有个人教学课件资源。</w:t>
                  </w:r>
                </w:p>
                <w:p>
                  <w:pPr>
                    <w:pStyle w:val="null5"/>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整机侧边栏内置自习工具，通过整机麦克风内置</w:t>
                  </w:r>
                  <w:r>
                    <w:rPr>
                      <w:rFonts w:ascii="仿宋_GB2312" w:hAnsi="仿宋_GB2312" w:cs="仿宋_GB2312" w:eastAsia="仿宋_GB2312"/>
                      <w:sz w:val="21"/>
                    </w:rPr>
                    <w:t xml:space="preserve">AI音频检测算法监测教室中学生音量大小，当学生音量大于阈值时，屏幕自动弹窗提醒进行自习纪律干预。(提供检测报告复印件)                                                   </w:t>
                  </w:r>
                </w:p>
                <w:p>
                  <w:pPr>
                    <w:pStyle w:val="null5"/>
                    <w:numPr>
                      <w:ilvl w:val="0"/>
                      <w:numId w:val="1"/>
                    </w:numPr>
                    <w:jc w:val="left"/>
                  </w:pPr>
                  <w:r>
                    <w:rPr>
                      <w:rFonts w:ascii="仿宋_GB2312" w:hAnsi="仿宋_GB2312" w:cs="仿宋_GB2312" w:eastAsia="仿宋_GB2312"/>
                      <w:sz w:val="21"/>
                    </w:rPr>
                    <w:t>OPS配置:（1）CUP：Intel 酷睿系列 i5或以上配置；</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2）内存：8GB DDR4笔记本内存或以上配置；</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3）硬盘：256GB或以上SSD固态硬盘。</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教学软件</w:t>
                  </w:r>
                </w:p>
              </w:tc>
              <w:tc>
                <w:tcPr>
                  <w:tcW w:type="dxa" w:w="2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一、教学软件：</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能够为教师提供可扩展至</w:t>
                  </w:r>
                  <w:r>
                    <w:rPr>
                      <w:rFonts w:ascii="仿宋_GB2312" w:hAnsi="仿宋_GB2312" w:cs="仿宋_GB2312" w:eastAsia="仿宋_GB2312"/>
                      <w:sz w:val="21"/>
                    </w:rPr>
                    <w:t>100TB的云存储空间，教师可在个人云空间中上传存储互动课件、云教案和其他教学资源。 （提供检测报告复印件）</w:t>
                  </w:r>
                </w:p>
                <w:p>
                  <w:pPr>
                    <w:pStyle w:val="null5"/>
                    <w:jc w:val="left"/>
                  </w:pPr>
                  <w:r>
                    <w:rPr>
                      <w:rFonts w:ascii="仿宋_GB2312" w:hAnsi="仿宋_GB2312" w:cs="仿宋_GB2312" w:eastAsia="仿宋_GB2312"/>
                      <w:sz w:val="21"/>
                    </w:rPr>
                    <w:t>2.具备个人账号功能，支持通过数字账号、微信二维码、硬件密钥方式登录教师个人账号。</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具有互动式教学课件资源，包含学科教育各学段各地区教材版本不少于</w:t>
                  </w:r>
                  <w:r>
                    <w:rPr>
                      <w:rFonts w:ascii="仿宋_GB2312" w:hAnsi="仿宋_GB2312" w:cs="仿宋_GB2312" w:eastAsia="仿宋_GB2312"/>
                      <w:sz w:val="21"/>
                    </w:rPr>
                    <w:t>150个；具有互动式教学课件资源，包含学科教育各学段教材版本全部教学章节、专题教育多个主题教育、特殊教育3大分类的不少于十六万份的互动课件。（提供检测报告复印件）</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为便于教师备课具备</w:t>
                  </w:r>
                  <w:r>
                    <w:rPr>
                      <w:rFonts w:ascii="仿宋_GB2312" w:hAnsi="仿宋_GB2312" w:cs="仿宋_GB2312" w:eastAsia="仿宋_GB2312"/>
                      <w:sz w:val="21"/>
                    </w:rPr>
                    <w:t>AI智能备课功能，可以在备课场景中搜索课件库课件资源，具有至少十六万份课件资源，支持整份课件或按照课件页插入课件中；能按照元素类型思维导图、课堂活动选取需要的部分补充课件缺失的部分。（提供检测报告复印件）</w:t>
                  </w:r>
                </w:p>
                <w:p>
                  <w:pPr>
                    <w:pStyle w:val="null5"/>
                    <w:jc w:val="left"/>
                  </w:pPr>
                  <w:r>
                    <w:rPr>
                      <w:rFonts w:ascii="仿宋_GB2312" w:hAnsi="仿宋_GB2312" w:cs="仿宋_GB2312" w:eastAsia="仿宋_GB2312"/>
                      <w:sz w:val="21"/>
                    </w:rPr>
                    <w:t>5.采用备授课一体化框架设计，教师可根据教学场景自由切换类PPT界面的备课模式与触控交互教学模式。</w:t>
                  </w:r>
                </w:p>
                <w:p>
                  <w:pPr>
                    <w:pStyle w:val="null5"/>
                    <w:jc w:val="left"/>
                  </w:pPr>
                  <w:r>
                    <w:rPr>
                      <w:rFonts w:ascii="仿宋_GB2312" w:hAnsi="仿宋_GB2312" w:cs="仿宋_GB2312" w:eastAsia="仿宋_GB2312"/>
                      <w:sz w:val="21"/>
                    </w:rPr>
                    <w:t>6.互动课件内容的编辑修改无需人为保存即可自动同步至云空间。</w:t>
                  </w:r>
                </w:p>
                <w:p>
                  <w:pPr>
                    <w:pStyle w:val="null5"/>
                    <w:jc w:val="left"/>
                  </w:pPr>
                  <w:r>
                    <w:rPr>
                      <w:rFonts w:ascii="仿宋_GB2312" w:hAnsi="仿宋_GB2312" w:cs="仿宋_GB2312" w:eastAsia="仿宋_GB2312"/>
                      <w:sz w:val="21"/>
                    </w:rPr>
                    <w:t>7.支持PPT的原生解析，教师可将pptx课件转化为互动教学课件，支持单份导入和批量文件夹导入两种导入方式。</w:t>
                  </w:r>
                </w:p>
                <w:p>
                  <w:pPr>
                    <w:pStyle w:val="null5"/>
                    <w:jc w:val="left"/>
                  </w:pPr>
                  <w:r>
                    <w:rPr>
                      <w:rFonts w:ascii="仿宋_GB2312" w:hAnsi="仿宋_GB2312" w:cs="仿宋_GB2312" w:eastAsia="仿宋_GB2312"/>
                      <w:sz w:val="21"/>
                    </w:rPr>
                    <w:t>8.可自由调节课件画面的显示比例，支持16:9、4：3画面显示比，可适配各类显示设备。</w:t>
                  </w:r>
                </w:p>
                <w:p>
                  <w:pPr>
                    <w:pStyle w:val="null5"/>
                    <w:jc w:val="left"/>
                  </w:pPr>
                  <w:r>
                    <w:rPr>
                      <w:rFonts w:ascii="仿宋_GB2312" w:hAnsi="仿宋_GB2312" w:cs="仿宋_GB2312" w:eastAsia="仿宋_GB2312"/>
                      <w:sz w:val="21"/>
                    </w:rPr>
                    <w:t>9.支持对多对象的叠放层级、对齐方式进行设置，可批量组合、锁定课件对象。对象移动时自动弹出对齐线及等距线辅助排版。</w:t>
                  </w:r>
                </w:p>
                <w:p>
                  <w:pPr>
                    <w:pStyle w:val="null5"/>
                    <w:jc w:val="left"/>
                  </w:pPr>
                  <w:r>
                    <w:rPr>
                      <w:rFonts w:ascii="仿宋_GB2312" w:hAnsi="仿宋_GB2312" w:cs="仿宋_GB2312" w:eastAsia="仿宋_GB2312"/>
                      <w:sz w:val="21"/>
                    </w:rPr>
                    <w:t>10.软件支持全文快速搜索，支持在课件中通过快捷键调用搜索控件，输入文本即可查找对应的文本匹配项。</w:t>
                  </w:r>
                </w:p>
                <w:p>
                  <w:pPr>
                    <w:pStyle w:val="null5"/>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提供教案模板，方便老师撰写教案，预置模板不少于</w:t>
                  </w:r>
                  <w:r>
                    <w:rPr>
                      <w:rFonts w:ascii="仿宋_GB2312" w:hAnsi="仿宋_GB2312" w:cs="仿宋_GB2312" w:eastAsia="仿宋_GB2312"/>
                      <w:sz w:val="21"/>
                    </w:rPr>
                    <w:t>7个。支持校本模板，管理员在教研管理后台设置校本模板后，老师可在云教案模板调用，云教案与云课件可一对多关联绑定，产生绑定后，在课件页和教案页均支持在同一面板打开关联的云课件或云教案预览，便于老师备课时相互对照。（提供检测报告复印件）</w:t>
                  </w:r>
                </w:p>
                <w:p>
                  <w:pPr>
                    <w:pStyle w:val="null5"/>
                    <w:jc w:val="left"/>
                  </w:pPr>
                  <w:r>
                    <w:rPr>
                      <w:rFonts w:ascii="仿宋_GB2312" w:hAnsi="仿宋_GB2312" w:cs="仿宋_GB2312" w:eastAsia="仿宋_GB2312"/>
                      <w:sz w:val="21"/>
                    </w:rPr>
                    <w:t>12.内置图片处理功能，无需借助专业图片处理软件即可对课件内的图片进行快速抠图。</w:t>
                  </w:r>
                </w:p>
                <w:p>
                  <w:pPr>
                    <w:pStyle w:val="null5"/>
                    <w:jc w:val="left"/>
                  </w:pPr>
                  <w:r>
                    <w:rPr>
                      <w:rFonts w:ascii="仿宋_GB2312" w:hAnsi="仿宋_GB2312" w:cs="仿宋_GB2312" w:eastAsia="仿宋_GB2312"/>
                      <w:sz w:val="21"/>
                    </w:rPr>
                    <w:t>13.内嵌学科思维导图功能，提供思维导图、鱼骨图及组织结构图等知识结构化工具，思维导图支持自定义连接线、节点样式。</w:t>
                  </w:r>
                </w:p>
                <w:p>
                  <w:pPr>
                    <w:pStyle w:val="null5"/>
                    <w:jc w:val="left"/>
                  </w:pPr>
                  <w:r>
                    <w:rPr>
                      <w:rFonts w:ascii="仿宋_GB2312" w:hAnsi="仿宋_GB2312" w:cs="仿宋_GB2312" w:eastAsia="仿宋_GB2312"/>
                      <w:sz w:val="21"/>
                    </w:rPr>
                    <w:t>14.课堂互动游戏支持云储存，编辑完成的活动可一键存储至教师云空间，便于在不同课件中直接调用，无需反复编辑。</w:t>
                  </w:r>
                </w:p>
                <w:p>
                  <w:pPr>
                    <w:pStyle w:val="null5"/>
                    <w:jc w:val="left"/>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具有课堂活动智能填写功能，支持选词填空、判断对错和趣味选择三大课堂活动；输入文本后可以一键解析，自动将文本内容结构化填充至题干和正确选项，完成课堂活动的制作。（提供检测报告复印件）</w:t>
                  </w:r>
                </w:p>
                <w:p>
                  <w:pPr>
                    <w:pStyle w:val="null5"/>
                    <w:jc w:val="left"/>
                  </w:pPr>
                  <w:r>
                    <w:rPr>
                      <w:rFonts w:ascii="仿宋_GB2312" w:hAnsi="仿宋_GB2312" w:cs="仿宋_GB2312" w:eastAsia="仿宋_GB2312"/>
                      <w:sz w:val="21"/>
                    </w:rPr>
                    <w:t>16.为便于校园党建文化宣传，提供100节党建微课视频，包含革命篇、建设篇、改革篇、复兴篇4个篇章。微课内容可在线点播，下载至课件播放。微课视频支持视频关键帧打点标记，播放过程中可一键跳转至标记位置，同时支持一键对视频内容进行截图插入课件。</w:t>
                  </w:r>
                </w:p>
                <w:p>
                  <w:pPr>
                    <w:pStyle w:val="null5"/>
                    <w:jc w:val="left"/>
                  </w:pPr>
                  <w:r>
                    <w:rPr>
                      <w:rFonts w:ascii="仿宋_GB2312" w:hAnsi="仿宋_GB2312" w:cs="仿宋_GB2312" w:eastAsia="仿宋_GB2312"/>
                      <w:sz w:val="21"/>
                    </w:rPr>
                    <w:t>17.支持教师自由添加古诗词教学资源，备课时可对原文进行注释、标重点等操作；提供原文朗读音频，全部诗词、古文均配备专业朗读配音，朗读音频支持关键帧打点标记。</w:t>
                  </w:r>
                </w:p>
                <w:p>
                  <w:pPr>
                    <w:pStyle w:val="null5"/>
                    <w:jc w:val="left"/>
                  </w:pPr>
                  <w:r>
                    <w:rPr>
                      <w:rFonts w:ascii="仿宋_GB2312" w:hAnsi="仿宋_GB2312" w:cs="仿宋_GB2312" w:eastAsia="仿宋_GB2312"/>
                      <w:sz w:val="21"/>
                    </w:rPr>
                    <w:t>18.支持蒙语输入法在此软件中进行直接输入及编辑，输入的蒙文需符合蒙古文语言逻辑，字与字之间从上到下，列与列之间从左到右。</w:t>
                  </w:r>
                </w:p>
                <w:p>
                  <w:pPr>
                    <w:pStyle w:val="null5"/>
                    <w:jc w:val="left"/>
                  </w:pPr>
                  <w:r>
                    <w:rPr>
                      <w:rFonts w:ascii="仿宋_GB2312" w:hAnsi="仿宋_GB2312" w:cs="仿宋_GB2312" w:eastAsia="仿宋_GB2312"/>
                      <w:sz w:val="21"/>
                    </w:rPr>
                    <w:t>19.可自由绘制长方体、立方体、圆柱体、圆锥等几何图形。任意调节几何体的大小尺寸，支持几何图形按比例放大缩小和通过单独调整长宽高（半径/高）改变几何体大小。</w:t>
                  </w:r>
                </w:p>
                <w:p>
                  <w:pPr>
                    <w:pStyle w:val="null5"/>
                    <w:jc w:val="left"/>
                  </w:pPr>
                  <w:r>
                    <w:rPr>
                      <w:rFonts w:ascii="仿宋_GB2312" w:hAnsi="仿宋_GB2312" w:cs="仿宋_GB2312" w:eastAsia="仿宋_GB2312"/>
                      <w:sz w:val="21"/>
                    </w:rPr>
                    <w:t>20.软件内置的AI智能语义分析模块，可对输入的英文文本的拼写、句型、语法进行错误检查，并支持一键纠错。</w:t>
                  </w:r>
                </w:p>
                <w:p>
                  <w:pPr>
                    <w:pStyle w:val="null5"/>
                    <w:jc w:val="left"/>
                  </w:pPr>
                  <w:r>
                    <w:rPr>
                      <w:rFonts w:ascii="仿宋_GB2312" w:hAnsi="仿宋_GB2312" w:cs="仿宋_GB2312" w:eastAsia="仿宋_GB2312"/>
                      <w:sz w:val="21"/>
                    </w:rPr>
                    <w:t>21.支持输入英文单词生成单词卡和详解页，包含单词的释义、读音、例句、词组、近义词等，可插入多个单词卡，同时支持教师自定义编辑单词释义、创建未收录的生僻单词供授课使用。</w:t>
                  </w:r>
                </w:p>
                <w:p>
                  <w:pPr>
                    <w:pStyle w:val="null5"/>
                    <w:jc w:val="left"/>
                  </w:pPr>
                  <w:r>
                    <w:rPr>
                      <w:rFonts w:ascii="仿宋_GB2312" w:hAnsi="仿宋_GB2312" w:cs="仿宋_GB2312" w:eastAsia="仿宋_GB2312"/>
                      <w:sz w:val="21"/>
                    </w:rPr>
                    <w:t>22.配置英语学科听写工具，覆盖小初高不少于8000个英语单词，支持自定义选择单词。自定义听写频率和次数，一键生成听写卡；授课模式支持一键开启听写朗读。</w:t>
                  </w:r>
                </w:p>
                <w:p>
                  <w:pPr>
                    <w:pStyle w:val="null5"/>
                    <w:jc w:val="left"/>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支持浏览和插入国际音标表，可直接点击发音，支持已整表和单个音标卡片插入。支持智能将字母、单词、句子转写为音标，并可一键插入到备课课件中形成文本。（提供检测报告复印件）</w:t>
                  </w:r>
                </w:p>
                <w:p>
                  <w:pPr>
                    <w:pStyle w:val="null5"/>
                    <w:jc w:val="left"/>
                  </w:pPr>
                  <w:r>
                    <w:rPr>
                      <w:rFonts w:ascii="仿宋_GB2312" w:hAnsi="仿宋_GB2312" w:cs="仿宋_GB2312" w:eastAsia="仿宋_GB2312"/>
                      <w:sz w:val="21"/>
                    </w:rPr>
                    <w:t>24.提供化学方程式快速编辑工具，当输入一个化学元素时，软件界面将自动显示出和该元素相关的多个常用化学反应方程式，可直接选择使用。插入后的化学方程式可重新编辑。</w:t>
                  </w:r>
                </w:p>
                <w:p>
                  <w:pPr>
                    <w:pStyle w:val="null5"/>
                    <w:jc w:val="left"/>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自由旋转、缩放。太阳系全览模型、行星、卫星使用模型嵌套设计，无需切换界面，可从太阳系逐层定位至卫星；提供丰富的地理教学图集，可查看行星的详细数据信息（包括名称、赤道直径、质量、自转周期、日心轨道周期、表面重力、温度等）和内部结构信息（地壳、地幔、外核、内核等），支持地球模型直接进行平面/立体转换，清晰展现地球表面的六大板块、降水分布、气温分布、气候分布、人口分布、表层洋流、陆地自然带、海平面等压线等内容，方便教学，星球模型不接受flash或其他动画形式。（提供检测报告复印件）</w:t>
                  </w:r>
                </w:p>
                <w:p>
                  <w:pPr>
                    <w:pStyle w:val="null5"/>
                    <w:jc w:val="left"/>
                  </w:pPr>
                  <w:r>
                    <w:rPr>
                      <w:rFonts w:ascii="仿宋_GB2312" w:hAnsi="仿宋_GB2312" w:cs="仿宋_GB2312" w:eastAsia="仿宋_GB2312"/>
                      <w:sz w:val="21"/>
                    </w:rPr>
                    <w:t>26.支持授课过程中调用板中板辅助教学，可进行批注、加页及背景色切换；板中板支持插入图片、音视频素材进行独立讲解，不影响课件主画面。</w:t>
                  </w:r>
                </w:p>
                <w:p>
                  <w:pPr>
                    <w:pStyle w:val="null5"/>
                    <w:jc w:val="left"/>
                  </w:pPr>
                  <w:r>
                    <w:rPr>
                      <w:rFonts w:ascii="仿宋_GB2312" w:hAnsi="仿宋_GB2312" w:cs="仿宋_GB2312" w:eastAsia="仿宋_GB2312"/>
                      <w:sz w:val="21"/>
                    </w:rPr>
                    <w:t>27.软件具备空中课堂功能，功能内置于交互式备授课软件中，无需额外安装部署直播软件，可实现语音直播、课件同步、互动工具等远程教学。教师根据讲解内容发布答题板供学生选择作答，学生提交答案后系统自动统计正确率和答题详情。</w:t>
                  </w:r>
                </w:p>
                <w:p>
                  <w:pPr>
                    <w:pStyle w:val="null5"/>
                    <w:jc w:val="left"/>
                  </w:pP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为便于校本资源的建立，软件具备校本资源库，支持教师实现校本资源共建共享。支持课件、教案、胶囊以文件夹的形式批量上传，支持树形结构目录，可进行资源分类及查找，支持全局资源搜索，按年级、学科筛选资源，支持查找资源后定位到当前资源文件夹，支持获取校本多媒体资源到本地查看，也可选择插入校本资源库中的多媒体资源，实现校内资源的共建共享。（提供检测报告复印件）</w:t>
                  </w:r>
                </w:p>
                <w:p>
                  <w:pPr>
                    <w:pStyle w:val="null5"/>
                    <w:jc w:val="left"/>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为顺应信息化教学场景的普及，软件支持集体备课功能，支持选择教案、课件、胶囊资源上传发起集备研讨，支持设置多重访问权限，通过手机号搜索即可邀请外校老师，可用于跨校教研场景，支持生成集备报告，报告生成后，参备人可查看具体报告内容和下载集备报告。报告内包含集备信息、数据统计、研讨记录的具体内容。（提供检测报告复印件）</w:t>
                  </w:r>
                </w:p>
                <w:p>
                  <w:pPr>
                    <w:pStyle w:val="null5"/>
                    <w:jc w:val="left"/>
                  </w:pP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支持上传个人作业题库中的习题到校本题库，与校内老师合作共建，支持老师在校本题库获取习题到个人题库，支持以教材章节目录的形式查看校本题库，通过习题题型和难度筛选习题，对于本人上传的题目可进行管理删除。（提供检测报告复印件）</w:t>
                  </w:r>
                </w:p>
                <w:p>
                  <w:pPr>
                    <w:pStyle w:val="null5"/>
                    <w:jc w:val="left"/>
                  </w:pPr>
                  <w:r>
                    <w:rPr>
                      <w:rFonts w:ascii="仿宋_GB2312" w:hAnsi="仿宋_GB2312" w:cs="仿宋_GB2312" w:eastAsia="仿宋_GB2312"/>
                      <w:sz w:val="21"/>
                    </w:rPr>
                    <w:t>二、</w:t>
                  </w:r>
                  <w:r>
                    <w:rPr>
                      <w:rFonts w:ascii="仿宋_GB2312" w:hAnsi="仿宋_GB2312" w:cs="仿宋_GB2312" w:eastAsia="仿宋_GB2312"/>
                      <w:sz w:val="21"/>
                    </w:rPr>
                    <w:t>教研系统：</w:t>
                  </w:r>
                  <w:r>
                    <w:rPr>
                      <w:rFonts w:ascii="仿宋_GB2312" w:hAnsi="仿宋_GB2312" w:cs="仿宋_GB2312" w:eastAsia="仿宋_GB2312"/>
                      <w:sz w:val="21"/>
                    </w:rPr>
                    <w:t>1.支持建设校级教研数字化管理平台，可在平台中进行学校教研管理工作，同时支持数据统计。</w:t>
                  </w:r>
                </w:p>
                <w:p>
                  <w:pPr>
                    <w:pStyle w:val="null5"/>
                    <w:jc w:val="left"/>
                  </w:pPr>
                  <w:r>
                    <w:rPr>
                      <w:rFonts w:ascii="仿宋_GB2312" w:hAnsi="仿宋_GB2312" w:cs="仿宋_GB2312" w:eastAsia="仿宋_GB2312"/>
                      <w:sz w:val="21"/>
                    </w:rPr>
                    <w:t>2.支持学校管理者在网页浏览器登陆，可查看全校教师软件活跃数据、点评数据及课件上传等数据。</w:t>
                  </w:r>
                </w:p>
                <w:p>
                  <w:pPr>
                    <w:pStyle w:val="null5"/>
                    <w:jc w:val="left"/>
                  </w:pPr>
                  <w:r>
                    <w:rPr>
                      <w:rFonts w:ascii="仿宋_GB2312" w:hAnsi="仿宋_GB2312" w:cs="仿宋_GB2312" w:eastAsia="仿宋_GB2312"/>
                      <w:sz w:val="21"/>
                    </w:rPr>
                    <w:t>3.▲支持管理者通过学校数据可视化看板，查看学校云课件教案数、累计校本研修次数等情况，了解关键数据环比上周的的具体情况；通过多维度分析学校的信息化教学应用情况，综合评估出信息化指数，并与全自治区均值进行对比，管理者可了解信息化教学进展。（提供检测报告复印件）</w:t>
                  </w:r>
                </w:p>
                <w:p>
                  <w:pPr>
                    <w:pStyle w:val="null5"/>
                    <w:jc w:val="left"/>
                  </w:pPr>
                  <w:r>
                    <w:rPr>
                      <w:rFonts w:ascii="仿宋_GB2312" w:hAnsi="仿宋_GB2312" w:cs="仿宋_GB2312" w:eastAsia="仿宋_GB2312"/>
                      <w:sz w:val="21"/>
                    </w:rPr>
                    <w:t>4.▲支持将信息化教学数据分五个维度进行评估，分别为资源建设、校本研修、校影响力、学情分析及班级氛围，并与全自治区均值对比。（提供检测报告复印件）</w:t>
                  </w:r>
                </w:p>
                <w:p>
                  <w:pPr>
                    <w:pStyle w:val="null5"/>
                    <w:jc w:val="left"/>
                  </w:pPr>
                  <w:r>
                    <w:rPr>
                      <w:rFonts w:ascii="仿宋_GB2312" w:hAnsi="仿宋_GB2312" w:cs="仿宋_GB2312" w:eastAsia="仿宋_GB2312"/>
                      <w:sz w:val="21"/>
                    </w:rPr>
                    <w:t>5.支持管理员账号进行权限的管理，包括班级管理查看及编辑权限，教师管理的查看与编辑权限，权限管理的编辑权限。</w:t>
                  </w:r>
                </w:p>
                <w:p>
                  <w:pPr>
                    <w:pStyle w:val="null5"/>
                    <w:jc w:val="left"/>
                  </w:pPr>
                  <w:r>
                    <w:rPr>
                      <w:rFonts w:ascii="仿宋_GB2312" w:hAnsi="仿宋_GB2312" w:cs="仿宋_GB2312" w:eastAsia="仿宋_GB2312"/>
                      <w:sz w:val="21"/>
                    </w:rPr>
                    <w:t>6.▲支持展示本校部分师资力量，直观呈现教师产出的课件/教案被获取数，及本校教师产生的资源在全国范围的影响，教师评价有根源。（提供检测报告复印件）</w:t>
                  </w:r>
                </w:p>
                <w:p>
                  <w:pPr>
                    <w:pStyle w:val="null5"/>
                    <w:jc w:val="left"/>
                  </w:pPr>
                  <w:r>
                    <w:rPr>
                      <w:rFonts w:ascii="仿宋_GB2312" w:hAnsi="仿宋_GB2312" w:cs="仿宋_GB2312" w:eastAsia="仿宋_GB2312"/>
                      <w:sz w:val="21"/>
                    </w:rPr>
                    <w:t>7.支持学校自定义构建部门，可将教师导入相应的部门，支持管理者审核教师入校。</w:t>
                  </w:r>
                </w:p>
                <w:p>
                  <w:pPr>
                    <w:pStyle w:val="null5"/>
                    <w:jc w:val="left"/>
                  </w:pPr>
                  <w:r>
                    <w:rPr>
                      <w:rFonts w:ascii="仿宋_GB2312" w:hAnsi="仿宋_GB2312" w:cs="仿宋_GB2312" w:eastAsia="仿宋_GB2312"/>
                      <w:sz w:val="21"/>
                    </w:rPr>
                    <w:t>8.为学校提供教研全流程管理服务，包含教学目标与计划、教学设计流程管理和数据分析。</w:t>
                  </w:r>
                </w:p>
                <w:p>
                  <w:pPr>
                    <w:pStyle w:val="null5"/>
                    <w:jc w:val="left"/>
                  </w:pPr>
                  <w:r>
                    <w:rPr>
                      <w:rFonts w:ascii="仿宋_GB2312" w:hAnsi="仿宋_GB2312" w:cs="仿宋_GB2312" w:eastAsia="仿宋_GB2312"/>
                      <w:sz w:val="21"/>
                    </w:rPr>
                    <w:t>9.展示教师在线研修情况，包括教师备课时长和在线学习时长，支持与分别按工作日和周末统计的全省均值进行对比，掌握教师日常的备课和学习情况。</w:t>
                  </w:r>
                </w:p>
                <w:p>
                  <w:pPr>
                    <w:pStyle w:val="null5"/>
                    <w:jc w:val="left"/>
                  </w:pPr>
                  <w:r>
                    <w:rPr>
                      <w:rFonts w:ascii="仿宋_GB2312" w:hAnsi="仿宋_GB2312" w:cs="仿宋_GB2312" w:eastAsia="仿宋_GB2312"/>
                      <w:sz w:val="21"/>
                    </w:rPr>
                    <w:t>10.管理者在教学检查中可以掌握以教研组、备课组为单位的教学资源和集体备数据，了解老师的教学备课工作，支持导出备课组下全部成员的课程资源和集体备课数据。</w:t>
                  </w:r>
                </w:p>
                <w:p>
                  <w:pPr>
                    <w:pStyle w:val="null5"/>
                    <w:jc w:val="left"/>
                  </w:pPr>
                  <w:r>
                    <w:rPr>
                      <w:rFonts w:ascii="仿宋_GB2312" w:hAnsi="仿宋_GB2312" w:cs="仿宋_GB2312" w:eastAsia="仿宋_GB2312"/>
                      <w:sz w:val="21"/>
                    </w:rPr>
                    <w:t>11.支持查看以教师维度统计的评课记录，可查看该教师详细的评课记录，包括课程名称，授课老师和评课时间，进入详情可查看该教师对该课程的评价记录。支持导出教师评课记录数据表格。</w:t>
                  </w:r>
                </w:p>
                <w:p>
                  <w:pPr>
                    <w:pStyle w:val="null5"/>
                    <w:jc w:val="left"/>
                  </w:pPr>
                  <w:r>
                    <w:rPr>
                      <w:rFonts w:ascii="仿宋_GB2312" w:hAnsi="仿宋_GB2312" w:cs="仿宋_GB2312" w:eastAsia="仿宋_GB2312"/>
                      <w:sz w:val="21"/>
                    </w:rPr>
                    <w:t>12.支持对不同评课维度得分进行统计，计算平均分并找出评分薄弱项，同时支持查看全校的课程评价记录和得分详情、教师评价记录。</w:t>
                  </w:r>
                </w:p>
                <w:p>
                  <w:pPr>
                    <w:pStyle w:val="null5"/>
                    <w:jc w:val="left"/>
                  </w:pPr>
                  <w:r>
                    <w:rPr>
                      <w:rFonts w:ascii="仿宋_GB2312" w:hAnsi="仿宋_GB2312" w:cs="仿宋_GB2312" w:eastAsia="仿宋_GB2312"/>
                      <w:sz w:val="21"/>
                    </w:rPr>
                    <w:t>13.▲支持自定义设置学校专属评课表，支持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提供检测报告复印件）</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视频展台</w:t>
                  </w:r>
                </w:p>
              </w:tc>
              <w:tc>
                <w:tcPr>
                  <w:tcW w:type="dxa" w:w="2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1、壁挂式安装，无锐角无利边设计，有效防止师生碰伤、划伤。</w:t>
                  </w:r>
                </w:p>
                <w:p>
                  <w:pPr>
                    <w:pStyle w:val="null5"/>
                    <w:jc w:val="both"/>
                  </w:pPr>
                  <w:r>
                    <w:rPr>
                      <w:rFonts w:ascii="仿宋_GB2312" w:hAnsi="仿宋_GB2312" w:cs="仿宋_GB2312" w:eastAsia="仿宋_GB2312"/>
                      <w:sz w:val="21"/>
                    </w:rPr>
                    <w:t>2、采用三折叠开合式托板，展开后托板尺寸≥A4面积，收起时小巧不占空间，高效利用挂墙面积。</w:t>
                  </w:r>
                </w:p>
                <w:p>
                  <w:pPr>
                    <w:pStyle w:val="null5"/>
                    <w:jc w:val="both"/>
                  </w:pPr>
                  <w:r>
                    <w:rPr>
                      <w:rFonts w:ascii="仿宋_GB2312" w:hAnsi="仿宋_GB2312" w:cs="仿宋_GB2312" w:eastAsia="仿宋_GB2312"/>
                      <w:sz w:val="21"/>
                    </w:rPr>
                    <w:t>3、采用USB高速接口，单根USB线实现供电、高清数据传输需求。</w:t>
                  </w:r>
                </w:p>
                <w:p>
                  <w:pPr>
                    <w:pStyle w:val="null5"/>
                    <w:jc w:val="both"/>
                  </w:pPr>
                  <w:r>
                    <w:rPr>
                      <w:rFonts w:ascii="仿宋_GB2312" w:hAnsi="仿宋_GB2312" w:cs="仿宋_GB2312" w:eastAsia="仿宋_GB2312"/>
                      <w:sz w:val="21"/>
                    </w:rPr>
                    <w:t>4、采用800W像素自动对焦摄像头，可拍摄A4画幅。</w:t>
                  </w:r>
                </w:p>
                <w:p>
                  <w:pPr>
                    <w:pStyle w:val="null5"/>
                    <w:jc w:val="both"/>
                  </w:pPr>
                  <w:r>
                    <w:rPr>
                      <w:rFonts w:ascii="仿宋_GB2312" w:hAnsi="仿宋_GB2312" w:cs="仿宋_GB2312" w:eastAsia="仿宋_GB2312"/>
                      <w:sz w:val="21"/>
                    </w:rPr>
                    <w:t>5、采用PDAF相位对焦技术，自动对焦速度低于300ms，减少对焦过程时间，提高教学效率。</w:t>
                  </w:r>
                </w:p>
                <w:p>
                  <w:pPr>
                    <w:pStyle w:val="null5"/>
                    <w:jc w:val="both"/>
                  </w:pPr>
                  <w:r>
                    <w:rPr>
                      <w:rFonts w:ascii="仿宋_GB2312" w:hAnsi="仿宋_GB2312" w:cs="仿宋_GB2312" w:eastAsia="仿宋_GB2312"/>
                      <w:sz w:val="21"/>
                    </w:rPr>
                    <w:t>6、支持通过双击屏幕画面任意位置，即时改变对焦位置，可对立体物体的局部进行精确对焦。</w:t>
                  </w:r>
                </w:p>
                <w:p>
                  <w:pPr>
                    <w:pStyle w:val="null5"/>
                    <w:jc w:val="both"/>
                  </w:pPr>
                  <w:r>
                    <w:rPr>
                      <w:rFonts w:ascii="仿宋_GB2312" w:hAnsi="仿宋_GB2312" w:cs="仿宋_GB2312" w:eastAsia="仿宋_GB2312"/>
                      <w:sz w:val="21"/>
                    </w:rPr>
                    <w:t>7、支持两倍无损变焦放大，1080P分辨率下输出解析度≥TV 1000线。</w:t>
                  </w:r>
                </w:p>
                <w:p>
                  <w:pPr>
                    <w:pStyle w:val="null5"/>
                    <w:jc w:val="both"/>
                  </w:pPr>
                  <w:r>
                    <w:rPr>
                      <w:rFonts w:ascii="仿宋_GB2312" w:hAnsi="仿宋_GB2312" w:cs="仿宋_GB2312" w:eastAsia="仿宋_GB2312"/>
                      <w:sz w:val="21"/>
                    </w:rPr>
                    <w:t>8、展台按键采用电容式触摸按键，可实现一键启动展台画面、画面放大、画面缩小、画面旋转、拍照截图等功能，同时也支持在展台软件上进行同样的操作。</w:t>
                  </w:r>
                </w:p>
                <w:p>
                  <w:pPr>
                    <w:pStyle w:val="null5"/>
                    <w:jc w:val="both"/>
                  </w:pPr>
                  <w:r>
                    <w:rPr>
                      <w:rFonts w:ascii="仿宋_GB2312" w:hAnsi="仿宋_GB2312" w:cs="仿宋_GB2312" w:eastAsia="仿宋_GB2312"/>
                      <w:sz w:val="21"/>
                    </w:rPr>
                    <w:t>9、自带均光罩LED补光灯，光线不足时可进行亮度补充，亮度均匀。摄像头杆在摄像头部分带保护镜片密封，防止灰尘沾染镜头。</w:t>
                  </w:r>
                </w:p>
                <w:p>
                  <w:pPr>
                    <w:pStyle w:val="null5"/>
                    <w:jc w:val="both"/>
                  </w:pPr>
                  <w:r>
                    <w:rPr>
                      <w:rFonts w:ascii="仿宋_GB2312" w:hAnsi="仿宋_GB2312" w:cs="仿宋_GB2312" w:eastAsia="仿宋_GB2312"/>
                      <w:sz w:val="21"/>
                    </w:rPr>
                    <w:t>10、支持对展台实时画面进行放大、缩小、旋转、自适应、冻结画面等操作。</w:t>
                  </w:r>
                </w:p>
                <w:p>
                  <w:pPr>
                    <w:pStyle w:val="null5"/>
                    <w:jc w:val="both"/>
                  </w:pPr>
                  <w:r>
                    <w:rPr>
                      <w:rFonts w:ascii="仿宋_GB2312" w:hAnsi="仿宋_GB2312" w:cs="仿宋_GB2312" w:eastAsia="仿宋_GB2312"/>
                      <w:sz w:val="21"/>
                    </w:rPr>
                    <w:t>11、支持展台画面实时批注，预设多种笔划粗细及颜色供选择，且支持对展台画面联同批注内容进行同步缩放、移动。</w:t>
                  </w:r>
                </w:p>
                <w:p>
                  <w:pPr>
                    <w:pStyle w:val="null5"/>
                    <w:jc w:val="both"/>
                  </w:pPr>
                  <w:r>
                    <w:rPr>
                      <w:rFonts w:ascii="仿宋_GB2312" w:hAnsi="仿宋_GB2312" w:cs="仿宋_GB2312" w:eastAsia="仿宋_GB2312"/>
                      <w:sz w:val="21"/>
                    </w:rPr>
                    <w:t>12、支持展台画面拍照截图并进行多图预览，可对任一图片进行全屏显示。</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投标产品与招标文件规定的技术参数和要求的满足程度；完全满足要求的 得20 分，标记为“▲”的技术参数，每负偏离一条扣1分，其他技术参数每 负偏离一条扣0.5分，直到扣完为止。（标记为“▲”技术参数提供第三方检 测机构出具的检测报告复印件，其他技术参数提供相关材料进行佐证。） 注：投标人在响应文件中标明相应佐证材料的位置、名称、页码、用于佐证第几条，未按要求填写，或佐证材料模糊不清，无法一一对应，视为负偏离。</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整体技术及项目实施方案</w:t>
            </w:r>
          </w:p>
        </w:tc>
        <w:tc>
          <w:tcPr>
            <w:tcW w:type="dxa" w:w="3115"/>
          </w:tcPr>
          <w:p>
            <w:pPr>
              <w:pStyle w:val="null5"/>
              <w:jc w:val="left"/>
            </w:pPr>
            <w:r>
              <w:rPr>
                <w:rFonts w:ascii="仿宋_GB2312" w:hAnsi="仿宋_GB2312" w:cs="仿宋_GB2312" w:eastAsia="仿宋_GB2312"/>
              </w:rPr>
              <w:t>投标人须提供详细的项目实施方案根据项目整体实施方案的全面性、专业 性、系统性、合理性、规范性、实施计划安排、质量保证计划和标准、验 收计划，方案考虑周全、重点突出，进行比较，方案内容准确理解并完全 满足采购文件需求，切实可行，并充分满足该项目的需要最高得10 分；方 案切实可行，能够把握本项目的技术重点、难点和要点的得7分 ；基本能 够符合采购文件需求，但方案内容简单，无针对性的得4分， 未提供不得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供货安排、安装调试、测试验收</w:t>
            </w:r>
          </w:p>
        </w:tc>
        <w:tc>
          <w:tcPr>
            <w:tcW w:type="dxa" w:w="3115"/>
          </w:tcPr>
          <w:p>
            <w:pPr>
              <w:pStyle w:val="null5"/>
              <w:jc w:val="left"/>
            </w:pPr>
            <w:r>
              <w:rPr>
                <w:rFonts w:ascii="仿宋_GB2312" w:hAnsi="仿宋_GB2312" w:cs="仿宋_GB2312" w:eastAsia="仿宋_GB2312"/>
              </w:rPr>
              <w:t>根据投标人针对本项目提供的供货安排、安装调试方案以及测试验收等进 行评审，内容包括但不限于：运输方案、时间安排、人员配备及分工、工 作流程等；完全满足本项目实际需求，具体详细、合理可行，得8分；基 本满足本项目实际需求，完整但不具体、有一定可行性，得5分；部分满 足本项目实际需求，有缺项、可行性不高，得2分。 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w:t>
            </w:r>
          </w:p>
        </w:tc>
        <w:tc>
          <w:tcPr>
            <w:tcW w:type="dxa" w:w="3115"/>
          </w:tcPr>
          <w:p>
            <w:pPr>
              <w:pStyle w:val="null5"/>
              <w:jc w:val="left"/>
            </w:pPr>
            <w:r>
              <w:rPr>
                <w:rFonts w:ascii="仿宋_GB2312" w:hAnsi="仿宋_GB2312" w:cs="仿宋_GB2312" w:eastAsia="仿宋_GB2312"/>
              </w:rPr>
              <w:t>根据投标人针对本项目提供的质量保证体系、质量保证措施方案进行评审 ，内容包括但不限于：进度保障措施（需提供进度保障计划表）、质量保 障措施、风险防范措施、应急保障措施等；完全满足本项目实际需求，具 体详细、合理可行，得8分；基本满足本项目实际需求，完整但不具体、 有一定可行性，得5分；部分满足本项目实际需求，有缺项、可行性不高 ，得2分。 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培训服务方案</w:t>
            </w:r>
          </w:p>
        </w:tc>
        <w:tc>
          <w:tcPr>
            <w:tcW w:type="dxa" w:w="3115"/>
          </w:tcPr>
          <w:p>
            <w:pPr>
              <w:pStyle w:val="null5"/>
              <w:jc w:val="left"/>
            </w:pPr>
            <w:r>
              <w:rPr>
                <w:rFonts w:ascii="仿宋_GB2312" w:hAnsi="仿宋_GB2312" w:cs="仿宋_GB2312" w:eastAsia="仿宋_GB2312"/>
              </w:rPr>
              <w:t>根据投标人针对本项目提供的应用培训方案（内容包括培训内容、培训时 间、培训地点、培训对象、培训人员等）对项目应用培训等内容评价：① 人员培训计划和应用技术支持的技术保证措施、培训计划方案编制高度符 合信息化教育教学提升；培训内容 系统、合理、先进；具体流程明确可实 行，方案实用、完整、先进、详细 ，得8分；②人员培训计划和应用技术 支持的技术保证措施、培训计划方案编制较为合理，得6分；③人员培训计 划和应用技术支持的技术保证措施、培训计划方案较为基础，内容相对简 单，得4分。未提供不得分。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应急解决方案</w:t>
            </w:r>
          </w:p>
        </w:tc>
        <w:tc>
          <w:tcPr>
            <w:tcW w:type="dxa" w:w="3115"/>
          </w:tcPr>
          <w:p>
            <w:pPr>
              <w:pStyle w:val="null5"/>
              <w:jc w:val="left"/>
            </w:pPr>
            <w:r>
              <w:rPr>
                <w:rFonts w:ascii="仿宋_GB2312" w:hAnsi="仿宋_GB2312" w:cs="仿宋_GB2312" w:eastAsia="仿宋_GB2312"/>
              </w:rPr>
              <w:t>根据供应商提供的应急方案措施进行评审，包括但不限于：突发事件应急 预案及处理能力、邻近供货期货物不足紧急方案、应急人员力量配备方案 、应急运输能力方案、现场处理、远程协助；应急解决方案完善详细、可 行，具有针对性的得6分；应急解决方案基本 完善、针对性一般的得3分； 应急解决方案不完善，针对性较差的得1分； 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近三年年承担过的同类项目每提供1个得2分，最多得4分。 以上业绩需提供中标通知书或网上中标公示或合同等相关材料作为依据，附相关材料原件扫描件或截图。</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企业综合实力</w:t>
            </w:r>
          </w:p>
        </w:tc>
        <w:tc>
          <w:tcPr>
            <w:tcW w:type="dxa" w:w="3115"/>
          </w:tcPr>
          <w:p>
            <w:pPr>
              <w:pStyle w:val="null5"/>
              <w:jc w:val="left"/>
            </w:pPr>
            <w:r>
              <w:rPr>
                <w:rFonts w:ascii="仿宋_GB2312" w:hAnsi="仿宋_GB2312" w:cs="仿宋_GB2312" w:eastAsia="仿宋_GB2312"/>
              </w:rPr>
              <w:t>1.为确保相关配套设备软硬件的稳定性，智慧黑板厂家须通过CMMI5及以上认证，提供证明文件复印件并加盖厂商公章，得1分，不提供不得分。 2.提供良好稳定的软件使用体验，智慧黑板厂家需具有一定的软件能力成熟度，并通过SPCA评估5级及以上认证，提供认证证书复印件及官网查询截图并加盖厂商公章；提供得1分，不提供不得分。 3.教学软件通过信息系统安全等级保护三级及以上，提供证明文件并加盖厂商公章得1分，不提供不得分。 4、为保障师生用眼安全智慧黑板具备TUV硬件低蓝光认证，TUV无频闪认证。提供证明文件并加盖厂商公章得1分，不提供不得分。 5.所投产品的生产厂家须通过售后服务评价认证，服务等级不低于十二星级，提供证明文件复印件并加盖厂商公章，得2分，不提供不得分。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