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兴安盟突泉县宝石镇2024年大中型水库移民安置区宝石村山洪沟治理项目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突泉县宝石镇人民政府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北京中兴恒工程咨询有限公司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152224-BJZXH-CS-20250001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北京中兴恒工程咨询有限公司</w:t>
      </w:r>
      <w:r>
        <w:rPr>
          <w:rFonts w:ascii="仿宋_GB2312" w:hAnsi="仿宋_GB2312" w:cs="仿宋_GB2312" w:eastAsia="仿宋_GB2312"/>
        </w:rPr>
        <w:t xml:space="preserve"> 受 </w:t>
      </w:r>
      <w:r>
        <w:rPr>
          <w:rFonts w:ascii="仿宋_GB2312" w:hAnsi="仿宋_GB2312" w:cs="仿宋_GB2312" w:eastAsia="仿宋_GB2312"/>
        </w:rPr>
        <w:t>突泉县宝石镇人民政府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兴安盟突泉县宝石镇2024年大中型水库移民安置区宝石村山洪沟治理项目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兴安盟突泉县宝石镇2024年大中型水库移民安置区宝石村山洪沟治理项目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152224-BJZXH-CS-20250001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突财购计划[2025]00019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1,345,200.00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兴安盟突泉县宝石镇2024年大中型水库移民安置区宝石村山洪沟治理项目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1,345,200.00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北京中兴恒工程咨询有限公司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北京市市辖区朝阳区东三环中路39号建外SOHO7号楼0703</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100000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曹伟宏</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13466706354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突泉县宝石镇人民政府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兴安盟突泉县宝石镇人民政府</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137511</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乌云嘎</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18548215500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代理服务费收费标准：暂参照内工建协【2022】34号文件</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突泉县宝石镇人民政府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北京中兴恒工程咨询有限公司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兴安盟突泉县宝石镇2024年大中型水库移民安置区宝石村山洪沟治理项目项目建设地点新建护坡两处：佟家屯护坡总长600米（每侧300 米），修建双涵过水路面长度50米，宽8米；小乃林村护坡总长1100米 （每侧550米）。</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12个月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兴安盟突泉县宝石镇宝石村</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1、项目进场施工拨付，达到付款条件起10日，支付合同总金额的30.00%</w:t>
            </w:r>
          </w:p>
          <w:p>
            <w:pPr>
              <w:pStyle w:val="null5"/>
              <w:jc w:val="left"/>
            </w:pPr>
            <w:r>
              <w:rPr>
                <w:rFonts w:ascii="仿宋_GB2312" w:hAnsi="仿宋_GB2312" w:cs="仿宋_GB2312" w:eastAsia="仿宋_GB2312"/>
              </w:rPr>
              <w:t>2、项目完成40%拨付，达到付款条件起10日，支付合同总金额的30.00%</w:t>
            </w:r>
          </w:p>
          <w:p>
            <w:pPr>
              <w:pStyle w:val="null5"/>
              <w:jc w:val="left"/>
            </w:pPr>
            <w:r>
              <w:rPr>
                <w:rFonts w:ascii="仿宋_GB2312" w:hAnsi="仿宋_GB2312" w:cs="仿宋_GB2312" w:eastAsia="仿宋_GB2312"/>
              </w:rPr>
              <w:t>3、项目完成80%拨付，达到付款条件起10日，支付合同总金额的20.00%</w:t>
            </w:r>
          </w:p>
          <w:p>
            <w:pPr>
              <w:pStyle w:val="null5"/>
              <w:jc w:val="left"/>
            </w:pPr>
            <w:r>
              <w:rPr>
                <w:rFonts w:ascii="仿宋_GB2312" w:hAnsi="仿宋_GB2312" w:cs="仿宋_GB2312" w:eastAsia="仿宋_GB2312"/>
              </w:rPr>
              <w:t>4、完成全部施工并验收合格后拨付，达到付款条件起10日，支付合同总金额的20.00%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标的名称：兴安盟突泉县宝石镇2024年大中型水库移民安置区宝石村山洪沟治理项目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审查供应商提供的具有良好的商业信誉和健全的财务会计制度的相关材料或承诺。</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审查供应商提供的依法缴纳税收和社会保障资金的相关材料或承诺。</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审查供应商提供的具有履行合同所必需的设备和专业技术能力的证明材料或承诺。</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根据投标人提供的技术部分总体内容完整性与编制水平进行综合评审： 1、技术部分总体内容完整，编制合理且针对性强，得8分； 2、技术部分总体内容较完整，编制较合理且针对性较强，得5分； 3、技术部分总体内容基本完整，编制基本合理有针对性，得3分； 4、技术部分总体内容不够完整，编制不够合理，针对性一般，得1分。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施工方案与技术措施方案与技术措施</w:t>
            </w:r>
          </w:p>
        </w:tc>
        <w:tc>
          <w:tcPr>
            <w:tcW w:type="dxa" w:w="3115"/>
          </w:tcPr>
          <w:p>
            <w:pPr>
              <w:pStyle w:val="null5"/>
              <w:jc w:val="left"/>
            </w:pPr>
            <w:r>
              <w:rPr>
                <w:rFonts w:ascii="仿宋_GB2312" w:hAnsi="仿宋_GB2312" w:cs="仿宋_GB2312" w:eastAsia="仿宋_GB2312"/>
              </w:rPr>
              <w:t>根据投标人提供的施工方案与技术措施进行综合评审： 1、施工方案与技术措施合理且能指导施工，施工部署全面，内容具体且针对性强，得8分； 2、施工方案与技术措施较合理且能指导施工，施工部署得当，内容较具体、针对性较强，得5分； 3、施工方案与技术措施基本合理，施工指导性基本可行，内容基本具体有针对性，得3分； 4、施工方案与技术措施不够具体或存在缺失，对施工缺乏指导性，针对性一般，得1分。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施工进度计划与措施</w:t>
            </w:r>
          </w:p>
        </w:tc>
        <w:tc>
          <w:tcPr>
            <w:tcW w:type="dxa" w:w="3115"/>
          </w:tcPr>
          <w:p>
            <w:pPr>
              <w:pStyle w:val="null5"/>
              <w:jc w:val="left"/>
            </w:pPr>
            <w:r>
              <w:rPr>
                <w:rFonts w:ascii="仿宋_GB2312" w:hAnsi="仿宋_GB2312" w:cs="仿宋_GB2312" w:eastAsia="仿宋_GB2312"/>
              </w:rPr>
              <w:t>根据投标人提供的施工进度计划与措施进行综合评审： 1、施工进度计划合理，措施内容全面且针对性强，工序搭配逻辑与关键线路清晰合理，能高效有序引导施工开展，得8分； 2、施工进度计划合理，措施内容较全面且针对性较强，工序搭配逻辑与关键线路较清晰合理，能正常引导施工开展，得5分； 3、施工进度计划合理，措施内容基本全面、针对性基本合理，工序搭配逻辑关系阐述基本清晰，得3分； 4、施工进度计划合理，措施内容编制简单，工序搭配逻辑关系阐述不够清晰合理，得1分。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根据投标人提供的质量管理体系与措施进行综合评审： 1、针对项目提出的施工质量管理体系与措施针对性强，内容全面、详细，符合项目情况、编制合理、可操作性强，得8分； 2、针对项目提出的施工质量管理体系与措施针对性较强，内容较全面、详细，描述较准确、规范，较符合项目情况，得5分； 3、针对项目提出的施工质量管理体系与措施针对性基本合理，内容基本全面，描述基本准确、规范，基本符合项目情况，得3分； 4、针对项目提出的施工质量管理体系与措施针对性一般，内容不够完整、可行性一般，得1分。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安全生产管理体系与措施</w:t>
            </w:r>
          </w:p>
        </w:tc>
        <w:tc>
          <w:tcPr>
            <w:tcW w:type="dxa" w:w="3115"/>
          </w:tcPr>
          <w:p>
            <w:pPr>
              <w:pStyle w:val="null5"/>
              <w:jc w:val="left"/>
            </w:pPr>
            <w:r>
              <w:rPr>
                <w:rFonts w:ascii="仿宋_GB2312" w:hAnsi="仿宋_GB2312" w:cs="仿宋_GB2312" w:eastAsia="仿宋_GB2312"/>
              </w:rPr>
              <w:t>根据投标人提供的资源配备计划进行综合评审： 1、拟投入本项目的主要机械设备、劳动力安排搭配合理与施工进度计划呼应，完全满足施工要求，保证施工高效、有序开展，得4分； 2、拟投入本项目的主要机械设备、劳动力安排搭配基本合理与施工进度计划基本呼应，基本满足施工要求，能保证施工正常开展，得2分； 3、拟投入本项目的主要机械设备、劳动力安排搭配不够合理，方案优化后方能保证施工正常开展，得1分。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根据投标人提供的资源配备计划进行综合评审： 1、拟投入本项目的主要机械设备、劳动力安排搭配合理与施工进度计划呼应，完全满足施工要求，保证施工高效、有序开展，得4分； 2、拟投入本项目的主要机械设备、劳动力安排搭配基本合理与施工进度计划基本呼应，基本满足施工要求，能保证施工正常开展，得2分； 3、拟投入本项目的主要机械设备、劳动力安排搭配不够合理，方案优化后方能保证施工正常开展，得1分。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环境保护管理措施</w:t>
            </w:r>
          </w:p>
        </w:tc>
        <w:tc>
          <w:tcPr>
            <w:tcW w:type="dxa" w:w="3115"/>
          </w:tcPr>
          <w:p>
            <w:pPr>
              <w:pStyle w:val="null5"/>
              <w:jc w:val="left"/>
            </w:pPr>
            <w:r>
              <w:rPr>
                <w:rFonts w:ascii="仿宋_GB2312" w:hAnsi="仿宋_GB2312" w:cs="仿宋_GB2312" w:eastAsia="仿宋_GB2312"/>
              </w:rPr>
              <w:t>根据供应商提供的环境保护管理措施进行评审，内容包含环境保护管理体系、污染物处理及排放符合国家及地方环境保护标准、技术及管理措施：1、针对项目提出的环境保护管理措施针对性强，内容全面、详细，描述准确、规范，完全符合要求，得3分； 2、针对项目提出的环境保护管理措施针对性较强，内容较全面、较详细，描述较准确、规范，基本符合要求，得2分； 3、针对项目提出的环境保护管理措施针对性一般，内容不够完整，不够符合要求，方案优化后方可执行的，得1分。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紧急情况的处理措施、预案以及抵抗风险的措施</w:t>
            </w:r>
          </w:p>
        </w:tc>
        <w:tc>
          <w:tcPr>
            <w:tcW w:type="dxa" w:w="3115"/>
          </w:tcPr>
          <w:p>
            <w:pPr>
              <w:pStyle w:val="null5"/>
              <w:jc w:val="left"/>
            </w:pPr>
            <w:r>
              <w:rPr>
                <w:rFonts w:ascii="仿宋_GB2312" w:hAnsi="仿宋_GB2312" w:cs="仿宋_GB2312" w:eastAsia="仿宋_GB2312"/>
              </w:rPr>
              <w:t>根据投标人提供的紧急情况的处理措施、预案以及抵抗风险的措施进行综合评审： 1、针对项目提出的紧急情况的处理措施、预案以及抵抗风险的措施完善合理，内容具体且针对性强，得4分； 2、针对项目提出的紧急情况的处理措施、预案以及抵抗风险的措施基本合理，内容基本具体、有针对性，得2分； 3、针对项目提出的紧急情况的处理措施、预案以及抵抗风险的措施不够清晰合理，内容不够全面、针对性一般，得1分。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工程保修措施</w:t>
            </w:r>
          </w:p>
        </w:tc>
        <w:tc>
          <w:tcPr>
            <w:tcW w:type="dxa" w:w="3115"/>
          </w:tcPr>
          <w:p>
            <w:pPr>
              <w:pStyle w:val="null5"/>
              <w:jc w:val="left"/>
            </w:pPr>
            <w:r>
              <w:rPr>
                <w:rFonts w:ascii="仿宋_GB2312" w:hAnsi="仿宋_GB2312" w:cs="仿宋_GB2312" w:eastAsia="仿宋_GB2312"/>
              </w:rPr>
              <w:t>根据投标人提供的工程保修措施进行综合评审： 1、针对项目提出的工程保修措施针对性强，完善性、合理性、可行性表述详细、全面、完全符合要求的，得3分； 2、针对项目提出的工程保修措施针对性较强，完善性、合理性、可行性表述较详细、全面、基本符合要求的，得2分； 3、针对项目提出的工程保修措施针对性一般，完善性、合理性、可行性表述一般，不够符合要求，方案优化后，方可执行的，得1分。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根据投标人提供投标截止前三年内已完成类似工程项目的业绩，每提供1个得5分，满分20分；不提供不得分。 （注：响应文件中需提供合同原件扫描件或复印件加盖单位公章，不提供不得分。）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投标报价得分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