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突泉县突泉镇区级现代农业产业园建设项目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突泉县突泉镇人民政府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中铭工程设计咨询有限公司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152224-XAM-ZM-GK-20250001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中铭工程设计咨询有限公司</w:t>
      </w:r>
      <w:r>
        <w:rPr>
          <w:rFonts w:ascii="仿宋_GB2312" w:hAnsi="仿宋_GB2312" w:cs="仿宋_GB2312" w:eastAsia="仿宋_GB2312"/>
        </w:rPr>
        <w:t xml:space="preserve"> 受 </w:t>
      </w:r>
      <w:r>
        <w:rPr>
          <w:rFonts w:ascii="仿宋_GB2312" w:hAnsi="仿宋_GB2312" w:cs="仿宋_GB2312" w:eastAsia="仿宋_GB2312"/>
        </w:rPr>
        <w:t>突泉县突泉镇人民政府</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突泉县突泉镇区级现代农业产业园建设项目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突泉县突泉镇区级现代农业产业园建设项目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152224-XAM-ZM-GK-20250001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突财购计划[2025]00134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突泉县突泉镇区级现代农业产业园建设项目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2,200,000.00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零售业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中铭工程设计咨询有限公司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陕西省宝鸡市金台区宝虢路8号院45号楼2单元1号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李佳圆</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18648452255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突泉县突泉镇人民政府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突泉县突泉镇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刘佳欣</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15561232019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代理服务费收费标准：参照内蒙古自治区工程建设协会关于印发《内蒙古自治区建设工程招标代理服务收费指导意见》的通知（内工建协【2022】34号）文件</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突泉县突泉镇人民政府</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中铭工程设计咨询有限公司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自成立以来近一年，经会计师事务所出具的财务审计报告或其基本开户银行出具的近半年内的银行资信证明。（如是新成立企业，则提供成立至今的财务审计报告或其基本开户银行出具的成立至今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1.提供递交投标文件截止之日前一年内（至少一个月）的良好缴纳税收的相关凭据。（以税务机关提供的纳税凭据或银行入账单为准）； 2.提供递交投标文件截止之日前一年内（至少一个月）缴纳社会保险的凭证。（以专用收据或社会保险缴纳清单为准） 注：其他组织和自然人也需要提供缴纳税收的凭据金额缴纳社保的凭据。依法免税或不需要缴纳社会保障资金的投标人，应提供相应文件证明其依法免税或不需要缴纳社会保障资金。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在现代农牧业产业园设置农业实验中心，在突泉镇农业产业链科技创新建设项目内配备土壤、叶柄、药残等实验仪器设备及药品；建设农业技术展示区，通过建设沙盘模型等内容直观展示并加快推广高新农业种植技术。主导产业发展，推进一二三产融合发展，促进农牧民就业增收。</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合同签订15日内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突泉镇人民政府</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1、设备进场，达到付款条件起10日，支付合同总金额的30.00%</w:t>
            </w:r>
          </w:p>
          <w:p>
            <w:pPr>
              <w:pStyle w:val="null5"/>
              <w:jc w:val="left"/>
            </w:pPr>
            <w:r>
              <w:rPr>
                <w:rFonts w:ascii="仿宋_GB2312" w:hAnsi="仿宋_GB2312" w:cs="仿宋_GB2312" w:eastAsia="仿宋_GB2312"/>
              </w:rPr>
              <w:t>2、设备安装，达到付款条件起2日，支付合同总金额的40.00%</w:t>
            </w:r>
          </w:p>
          <w:p>
            <w:pPr>
              <w:pStyle w:val="null5"/>
              <w:jc w:val="left"/>
            </w:pPr>
            <w:r>
              <w:rPr>
                <w:rFonts w:ascii="仿宋_GB2312" w:hAnsi="仿宋_GB2312" w:cs="仿宋_GB2312" w:eastAsia="仿宋_GB2312"/>
              </w:rPr>
              <w:t>3、完成交付，达到付款条件起10日，支付合同总金额的30.00%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标的名称：突泉县突泉镇区级现代农业产业园建设项目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详见采购清单附件</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技术参数响应</w:t>
            </w:r>
          </w:p>
        </w:tc>
        <w:tc>
          <w:tcPr>
            <w:tcW w:type="dxa" w:w="3115"/>
          </w:tcPr>
          <w:p>
            <w:pPr>
              <w:pStyle w:val="null5"/>
              <w:jc w:val="left"/>
            </w:pPr>
            <w:r>
              <w:rPr>
                <w:rFonts w:ascii="仿宋_GB2312" w:hAnsi="仿宋_GB2312" w:cs="仿宋_GB2312" w:eastAsia="仿宋_GB2312"/>
              </w:rPr>
              <w:t>对产品参数的响应性，所有参数完全响应得15分；一般参数有一项不满足扣1分，标▲为重要参数，一项不满足扣2分，扣完为止；漏报技术条款视为负偏离。备注：（1）标▲项参数需提供佐证材料。（2）技术偏离表中备注佐证文件所对应页码及名称。</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根据供货方案对产品的包装、保管、运输及供货计划安排、时效保证等措施内容进行评审：方案详细完善、合理可行性强的得7分、方案详细完善、合理可行性良好的得3分、方案详细完善、合理可行性较好的得2分；方案完善性、合理可行性一般的得1分，未提供的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安装调试方案</w:t>
            </w:r>
          </w:p>
        </w:tc>
        <w:tc>
          <w:tcPr>
            <w:tcW w:type="dxa" w:w="3115"/>
          </w:tcPr>
          <w:p>
            <w:pPr>
              <w:pStyle w:val="null5"/>
              <w:jc w:val="left"/>
            </w:pPr>
            <w:r>
              <w:rPr>
                <w:rFonts w:ascii="仿宋_GB2312" w:hAnsi="仿宋_GB2312" w:cs="仿宋_GB2312" w:eastAsia="仿宋_GB2312"/>
              </w:rPr>
              <w:t>根据安装调试方案对设备安装、调试、试运行、验收交付方案进行评审：方案科学合理性、详细完善性、针对性强的得7分、方案科学合理性、详细完善性、针对性良好的得3分、方案科学合理性、详细完善性、针对性较好的2分；方案科学合理性、完善性、针对性一般的得1分，未提供的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质量保证方案</w:t>
            </w:r>
          </w:p>
        </w:tc>
        <w:tc>
          <w:tcPr>
            <w:tcW w:type="dxa" w:w="3115"/>
          </w:tcPr>
          <w:p>
            <w:pPr>
              <w:pStyle w:val="null5"/>
              <w:jc w:val="left"/>
            </w:pPr>
            <w:r>
              <w:rPr>
                <w:rFonts w:ascii="仿宋_GB2312" w:hAnsi="仿宋_GB2312" w:cs="仿宋_GB2312" w:eastAsia="仿宋_GB2312"/>
              </w:rPr>
              <w:t>根据质量保证方案，包括但不限于使用过程中的操作性、稳定性、产品使用寿命、故障维修频率、设备维护周期内维护措施、产品及备品备件质量保证措施等进行评审：方案科学完善性、专业合理性、实用性强的得7分、方案科学完善性、专业合理性、实用性良好3分、方案科学完善性、专业合理性、实用性较好的得2分；方案科学完善性、专业合理性、实用性一般的得1分，未提供的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备品备件方案</w:t>
            </w:r>
          </w:p>
        </w:tc>
        <w:tc>
          <w:tcPr>
            <w:tcW w:type="dxa" w:w="3115"/>
          </w:tcPr>
          <w:p>
            <w:pPr>
              <w:pStyle w:val="null5"/>
              <w:jc w:val="left"/>
            </w:pPr>
            <w:r>
              <w:rPr>
                <w:rFonts w:ascii="仿宋_GB2312" w:hAnsi="仿宋_GB2312" w:cs="仿宋_GB2312" w:eastAsia="仿宋_GB2312"/>
              </w:rPr>
              <w:t>根据对设备投入使用后维护、保修需求配备的备品备件合理性、齐全性及优惠承诺进行评审：方案全面合理、专业性、实用性强的得7分、方案全面合理、专业性、实用性良好的得3分、方案全面合理、专业性、实用性较好的得2分；方案全面合理、专业性、实用性一般的得1分，未提供的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应急方案</w:t>
            </w:r>
          </w:p>
        </w:tc>
        <w:tc>
          <w:tcPr>
            <w:tcW w:type="dxa" w:w="3115"/>
          </w:tcPr>
          <w:p>
            <w:pPr>
              <w:pStyle w:val="null5"/>
              <w:jc w:val="left"/>
            </w:pPr>
            <w:r>
              <w:rPr>
                <w:rFonts w:ascii="仿宋_GB2312" w:hAnsi="仿宋_GB2312" w:cs="仿宋_GB2312" w:eastAsia="仿宋_GB2312"/>
              </w:rPr>
              <w:t>根据应急方案的紧急故障处理预案、处理措施、响应时间、责任划分进行评审：方案科学合理性、针对性、迅速性、明确性强的得7分、方案科学合理性、针对性、迅速性、明确性良好的得3分、方案科学合理性、针对性、迅速性、明确性较好的得2分；方案科学合理性、针对性、迅速性、明确性一般的得1分，未提供的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近三年每提供一份类似销售业绩得5分，最多得20分.（注：业绩时间按投标截止时间向前推算整三年，须提供中标通知书或合同原件扫描件，扫描件内容完整、关键信息清晰，否则不得分）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