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2023年突泉县老旧小区主体改造工程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突泉县住房和城乡建设局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兴安盟全过程咨询有限责任公司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152224-QGCZX-CS-20250001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兴安盟全过程咨询有限责任公司</w:t>
      </w:r>
      <w:r>
        <w:rPr>
          <w:rFonts w:ascii="仿宋_GB2312" w:hAnsi="仿宋_GB2312" w:cs="仿宋_GB2312" w:eastAsia="仿宋_GB2312"/>
        </w:rPr>
        <w:t xml:space="preserve"> 受 </w:t>
      </w:r>
      <w:r>
        <w:rPr>
          <w:rFonts w:ascii="仿宋_GB2312" w:hAnsi="仿宋_GB2312" w:cs="仿宋_GB2312" w:eastAsia="仿宋_GB2312"/>
        </w:rPr>
        <w:t>突泉县住房和城乡建设局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2023年突泉县老旧小区主体改造工程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2023年突泉县老旧小区主体改造工程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152224-QGCZX-CS-20250001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突财购计划[2025]00113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1,498,656.70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2023年突泉县老旧小区主体改造工程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1,498,656.70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须具备建设行政主管部门核发的【建筑工程施工总承包叁级(含)】及以上资质，如供应商已申办2020年11月30日建市(2020)94号《住房和城乡建设部关于印发建设工程企业资质管理制度改革方案的通知》中住建部要求的最新资质，且具备有效的安全生产许可证，并在人员、设备、资金等方面具有相应的能力。响应文件须附资质证书原件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兴安盟全过程咨询有限责任公司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内蒙古自治区兴安盟乌兰浩特市城郊街道罕山茗邸小区S2-17号商业</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王经理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15648239189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突泉县住房和城乡建设局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突泉县</w:t>
      </w:r>
    </w:p>
    <w:p>
      <w:pPr>
        <w:pStyle w:val="null5"/>
      </w:pPr>
      <w:r>
        <w:rPr>
          <w:rFonts w:ascii="仿宋_GB2312" w:hAnsi="仿宋_GB2312" w:cs="仿宋_GB2312" w:eastAsia="仿宋_GB2312"/>
        </w:rPr>
        <w:t xml:space="preserve"> 邮编： </w:t>
      </w:r>
      <w:r>
        <w:rPr>
          <w:rFonts w:ascii="仿宋_GB2312" w:hAnsi="仿宋_GB2312" w:cs="仿宋_GB2312" w:eastAsia="仿宋_GB2312"/>
        </w:rPr>
        <w:t>037500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徐宏坤</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13654855095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代理服务费收费标准：参考内工建协（2022）34号文件进行收取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突泉县住房和城乡建设局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兴安盟全过程咨询有限责任公司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对突泉县内五个住房小区进行改造</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2025年4月1日至2025年7月31日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突泉县内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1、工程预付款，达到付款条件起30日，支付合同总金额的40.00%</w:t>
            </w:r>
          </w:p>
          <w:p>
            <w:pPr>
              <w:pStyle w:val="null5"/>
              <w:jc w:val="left"/>
            </w:pPr>
            <w:r>
              <w:rPr>
                <w:rFonts w:ascii="仿宋_GB2312" w:hAnsi="仿宋_GB2312" w:cs="仿宋_GB2312" w:eastAsia="仿宋_GB2312"/>
              </w:rPr>
              <w:t>2、工程进度款，达到付款条件起30日，支付合同总金额的40.00%</w:t>
            </w:r>
          </w:p>
          <w:p>
            <w:pPr>
              <w:pStyle w:val="null5"/>
              <w:jc w:val="left"/>
            </w:pPr>
            <w:r>
              <w:rPr>
                <w:rFonts w:ascii="仿宋_GB2312" w:hAnsi="仿宋_GB2312" w:cs="仿宋_GB2312" w:eastAsia="仿宋_GB2312"/>
              </w:rPr>
              <w:t>3、工程进度款，达到付款条件起30日，支付合同总金额的20.00%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标的名称：2023年突泉县老旧小区主体改造工程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施工范围：详见工程量清单。</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施工日期：2025年4月1日至2025年7月31日。</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须具备建设行政主管部门核发的【建筑工程施工总承包叁级(含)】及以上资质，如供应商已申办2020年11月30日建市(2020)94号《住房和城乡建设部关于印发建设工程企业资质管理制度改革方案的通知》中住建部要求的最新资质，且具备有效的安全生产许可证，并在人员、设备、资金等方面具有相应的能力。响应文件须附资质证书原件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w:t>
            </w:r>
          </w:p>
        </w:tc>
        <w:tc>
          <w:tcPr>
            <w:tcW w:type="dxa" w:w="3115"/>
          </w:tcPr>
          <w:p>
            <w:pPr>
              <w:pStyle w:val="null5"/>
              <w:jc w:val="left"/>
            </w:pPr>
            <w:r>
              <w:rPr>
                <w:rFonts w:ascii="仿宋_GB2312" w:hAnsi="仿宋_GB2312" w:cs="仿宋_GB2312" w:eastAsia="仿宋_GB2312"/>
              </w:rPr>
              <w:t>施工方案合理可行，施工措施对工程质量、工期和施工安全有充分保障的得20分；施工方案可行，技术措施对工程质量、工期和施工安全有保障的15分；施工方案、工程进度基本可行，技术措施对工程质量、工期和施工安全有一定保障的得10分，施工方案可行，对工程质量、工期和施工安全没有保障的得5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施工机械及材料使用计划</w:t>
            </w:r>
          </w:p>
        </w:tc>
        <w:tc>
          <w:tcPr>
            <w:tcW w:type="dxa" w:w="3115"/>
          </w:tcPr>
          <w:p>
            <w:pPr>
              <w:pStyle w:val="null5"/>
              <w:jc w:val="left"/>
            </w:pPr>
            <w:r>
              <w:rPr>
                <w:rFonts w:ascii="仿宋_GB2312" w:hAnsi="仿宋_GB2312" w:cs="仿宋_GB2312" w:eastAsia="仿宋_GB2312"/>
              </w:rPr>
              <w:t>施工机械齐全，材料使用安排合理，具体且完善的得10分；施工机械基本齐全，材料使用安排基本合理、基本完善得7分;施工机械不齐全，材料使用安排较为一般得3分;施工机械安排不合理不完善得1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施工进度计划与措施编制合理，内容全面具体，措施有力且针对性强得10分;施工进度计划与措施编制基本合理，内容基本全面，措施不明显，针对性一般得7分;施工进度计划编制与措施内容基本全面，缺乏措施及针对性得3分;施工进度计划与措施编制不合理，内容不全面得1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质量控制措施完善，内容全面，且针对性强得10分;质量控制措施基本完善，内容基本全面，针对性一般得7分;质量控制措施基本完善，缺乏针对性得3分;质量控制措施不完善，内容不全面得1分。不提供不得分。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生产保证措施编制合理，内容全面具体措施有力且针对性强得10分;安全生产保证措施编制基本合理，内容基本全面，措施不明显，针对性一般得7分;安全生产保证措施编制内容基本全面，缺乏措施及针对性得3分;安全生产保证措施编制不合理，内容不全面得1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供应商近三年（2022年1月至今，至今指响应文件递交截止之日）完成的类似项目，每项加10分，最多加10分。提供合同关键页扫描件加盖单位公章。</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