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锡林郭勒盟文化遗产博物馆沉浸式展厅建设及设备采购项目(二次)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锡林郭勒盟文化遗产保护研究中心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内蒙古中海晟项目管理有限公司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152500-nmzhs--GK-20250002-1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内蒙古中海晟项目管理有限公司</w:t>
      </w:r>
      <w:r>
        <w:rPr>
          <w:rFonts w:ascii="仿宋_GB2312" w:hAnsi="仿宋_GB2312" w:cs="仿宋_GB2312" w:eastAsia="仿宋_GB2312"/>
        </w:rPr>
        <w:t xml:space="preserve"> 受 </w:t>
      </w:r>
      <w:r>
        <w:rPr>
          <w:rFonts w:ascii="仿宋_GB2312" w:hAnsi="仿宋_GB2312" w:cs="仿宋_GB2312" w:eastAsia="仿宋_GB2312"/>
        </w:rPr>
        <w:t>锡林郭勒盟文化遗产保护研究中心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锡林郭勒盟文化遗产博物馆沉浸式展厅建设及设备采购项目(二次)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锡林郭勒盟文化遗产博物馆沉浸式展厅建设及设备采购项目(二次)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152500-nmzhs--GK-20250002-1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锡政采计划[2025]00035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1,457,400.00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照明设备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297,400.00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展柜（定制）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440,000.00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视频监控</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720,000.00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内蒙古中海晟项目管理有限公司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内蒙古自治区锡林郭勒盟锡林浩特市振兴南街搏苑小区写字楼A座4#402号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宋海军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19304791555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锡林郭勒盟文化遗产保护研究中心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正蓝旗上都镇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希龙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04794223338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代理服务费收费标准：按照行业标准执行</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锡林郭勒盟文化遗产保护研究中心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内蒙古中海晟项目管理有限公司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锡林郭勒盟文化遗产博物馆沉浸式展厅建设及设备采购项目：为高效履行中心职责，特别是加强元上都遗址的保护与研究，计划通过内外结合的培训模式，提升团队在古遗址保护、管理、研究、展示及阐释方面的综合能力。同时，构建数字体验平台，引入数字媒体技术及沉浸式全息设备，根据《元上都》的主题定位，将元上都遗址的城市建置及建筑布局，城市主要建筑大安阁、穆清阁、孔庙，元上都的科学技术、元上都与马可波罗、诗词里的元上都等主要内容，动态立体式地反映元上都的经济、政治、文化等内容，阐释世界文化遗产元上都的突出普遍价值。促进文化遗产的活化利用与传承。内容经历史文化机构，相关学术专家论证，政府相关单位批准的视频文献引入相关数字媒体技术，使用沉浸式体验全系投影的形式，深化观众对展品的认知。</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合同签订后60日内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锡林郭勒盟文化遗产博物馆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1、合同签订后，达到付款条件起10日，支付合同总金额的40.00%</w:t>
            </w:r>
          </w:p>
          <w:p>
            <w:pPr>
              <w:pStyle w:val="null5"/>
              <w:jc w:val="left"/>
            </w:pPr>
            <w:r>
              <w:rPr>
                <w:rFonts w:ascii="仿宋_GB2312" w:hAnsi="仿宋_GB2312" w:cs="仿宋_GB2312" w:eastAsia="仿宋_GB2312"/>
              </w:rPr>
              <w:t>2、进度达到60%，达到付款条件起10日，支付合同总金额的40.00%</w:t>
            </w:r>
          </w:p>
          <w:p>
            <w:pPr>
              <w:pStyle w:val="null5"/>
              <w:jc w:val="left"/>
            </w:pPr>
            <w:r>
              <w:rPr>
                <w:rFonts w:ascii="仿宋_GB2312" w:hAnsi="仿宋_GB2312" w:cs="仿宋_GB2312" w:eastAsia="仿宋_GB2312"/>
              </w:rPr>
              <w:t>3、验收合格后，达到付款条件起10日，支付合同总金额的20.00%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标的名称：照明设备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详见采购清单</w:t>
            </w:r>
          </w:p>
        </w:tc>
      </w:tr>
    </w:tbl>
    <w:p>
      <w:pPr>
        <w:pStyle w:val="null5"/>
        <w:jc w:val="left"/>
      </w:pPr>
      <w:r>
        <w:rPr>
          <w:rFonts w:ascii="仿宋_GB2312" w:hAnsi="仿宋_GB2312" w:cs="仿宋_GB2312" w:eastAsia="仿宋_GB2312"/>
        </w:rPr>
        <w:t>标的名称：展柜（定制）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详见采购清单</w:t>
            </w:r>
          </w:p>
        </w:tc>
      </w:tr>
    </w:tbl>
    <w:p>
      <w:pPr>
        <w:pStyle w:val="null5"/>
        <w:jc w:val="left"/>
      </w:pPr>
      <w:r>
        <w:rPr>
          <w:rFonts w:ascii="仿宋_GB2312" w:hAnsi="仿宋_GB2312" w:cs="仿宋_GB2312" w:eastAsia="仿宋_GB2312"/>
        </w:rPr>
        <w:t>标的名称：视频监控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详见采购清单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根据投标人针对本项目提供的详细实施方案进行评价： 1】总体实施服务方案、供货方案、安装调试方案、测试验收方案。完整、可 行、无缺漏、符合实际、符合要求得10分。 2】总体实施服务方案、供货方案、安装调试方案、测试验收方案。较为完整、可行、符合实际、符合要求得6分。 3】总体实施服务方案、供货方案、安装调试方案、测试验收方案。内容缺项漏项，方案不完整、不符合要求得1分。 4】未提供技术方案不得分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根据投标服务与招标文件技术要求规定的参数要求进行评审，重要参数一项不满足扣2分,一般参数一项不满足扣1分，扣完为止。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安防建设方案</w:t>
            </w:r>
          </w:p>
        </w:tc>
        <w:tc>
          <w:tcPr>
            <w:tcW w:type="dxa" w:w="3115"/>
          </w:tcPr>
          <w:p>
            <w:pPr>
              <w:pStyle w:val="null5"/>
              <w:jc w:val="left"/>
            </w:pPr>
            <w:r>
              <w:rPr>
                <w:rFonts w:ascii="仿宋_GB2312" w:hAnsi="仿宋_GB2312" w:cs="仿宋_GB2312" w:eastAsia="仿宋_GB2312"/>
              </w:rPr>
              <w:t>根据投标人针对本项目提供详细的安防建设方案进行评价： 1】采购人现有需求分析准确、安防点位布置合理详细的，监控系统整体架构合理完善、防护区域划分准确合理、设备布设与选型完整合理，得10分。 2】采购人现有需求分析较为准确、安防点位布置较为合理详细的，监控系统整体架构较为合理完善、防护区域划分较为准确合理、设备布设与选型较为完整合理，得6分。 3】以上内容缺项漏项，内容不够准确、合理、详细、完整的，得1分。 4】未提供以上内容不得分。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展柜设计方案</w:t>
            </w:r>
          </w:p>
        </w:tc>
        <w:tc>
          <w:tcPr>
            <w:tcW w:type="dxa" w:w="3115"/>
          </w:tcPr>
          <w:p>
            <w:pPr>
              <w:pStyle w:val="null5"/>
              <w:jc w:val="left"/>
            </w:pPr>
            <w:r>
              <w:rPr>
                <w:rFonts w:ascii="仿宋_GB2312" w:hAnsi="仿宋_GB2312" w:cs="仿宋_GB2312" w:eastAsia="仿宋_GB2312"/>
              </w:rPr>
              <w:t>根据投标人针对本项目提供详细的展柜建设方案进行评价： 1】展柜图纸全面合理可行得2分，展柜工艺合理先进得2分，展柜介绍内容详细完整得2分，展柜安装位置平面示意图符合实际需求2分。 2】展柜图纸较为全面合理可行得1分，展柜工艺较为合理先进得1分，展柜介绍内容较为详细完整得1分，展柜安装位置平面示意图较为符合实际需求得1分。 3】以上内容不合理全面可行、不符合实际需求的或内容缺项漏项的不得分。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售后服务保障</w:t>
            </w:r>
          </w:p>
        </w:tc>
        <w:tc>
          <w:tcPr>
            <w:tcW w:type="dxa" w:w="3115"/>
          </w:tcPr>
          <w:p>
            <w:pPr>
              <w:pStyle w:val="null5"/>
              <w:jc w:val="left"/>
            </w:pPr>
            <w:r>
              <w:rPr>
                <w:rFonts w:ascii="仿宋_GB2312" w:hAnsi="仿宋_GB2312" w:cs="仿宋_GB2312" w:eastAsia="仿宋_GB2312"/>
              </w:rPr>
              <w:t>根据投标人针对本项目提供的详细服务保障方案进行评价， 明确项目人员和售后服务组织架构、售后体系、质量保障措施，内容明确，完整且符合实际项目需求得2分。 内容缺项漏项，不完整，不符合项目实际需求得1分。未提供不得分。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w:t>
            </w:r>
          </w:p>
        </w:tc>
        <w:tc>
          <w:tcPr>
            <w:tcW w:type="dxa" w:w="3115"/>
          </w:tcPr>
          <w:p>
            <w:pPr>
              <w:pStyle w:val="null5"/>
              <w:jc w:val="left"/>
            </w:pPr>
            <w:r>
              <w:rPr>
                <w:rFonts w:ascii="仿宋_GB2312" w:hAnsi="仿宋_GB2312" w:cs="仿宋_GB2312" w:eastAsia="仿宋_GB2312"/>
              </w:rPr>
              <w:t>根据供应商对本项目工作时间进度计划的安排及进度保障方案进行评审：包括进度管理措施、进度保障措施、实施进度计划详细完整得5分，以上方案不详细完整不完全符合项目实际得2分，以上方案缺项漏项，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投标人提供同类业绩的中标通知书或合同（同类业绩指：监控系统或展柜或灯光系统或信息系统集业绩），每提供一个得1分，最高得5分。 注：业绩证明材料为中标通知书或合同关键页（首页、盖章页）的复印件，可隐去敏感内容。证明材料不全，或无法证明的不得分。项目应是2021年1月1日（含）之后签订合同或中标的，否则不得分。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技术支撑能力</w:t>
            </w:r>
          </w:p>
        </w:tc>
        <w:tc>
          <w:tcPr>
            <w:tcW w:type="dxa" w:w="3115"/>
          </w:tcPr>
          <w:p>
            <w:pPr>
              <w:pStyle w:val="null5"/>
              <w:jc w:val="left"/>
            </w:pPr>
            <w:r>
              <w:rPr>
                <w:rFonts w:ascii="仿宋_GB2312" w:hAnsi="仿宋_GB2312" w:cs="仿宋_GB2312" w:eastAsia="仿宋_GB2312"/>
              </w:rPr>
              <w:t>1、投标人具有质量管理体系认证证书、信息安全管理体系认证证书、信息技术服务管理体系认证证书、职业健康安全管理体系认证证书、环境管理体系认证证书，提供证书复印件并加盖投标人公章。同时提供得2分，缺项或不提供不得分。（提供全国认证认可信息公共服务平台查询截图有效） 2、投标人具有供应链安全管理体系认证证书（业务覆盖范包含网络运维或系统集成或软件运 维）得3分，未提供不得分。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团队技术能力</w:t>
            </w:r>
          </w:p>
        </w:tc>
        <w:tc>
          <w:tcPr>
            <w:tcW w:type="dxa" w:w="3115"/>
          </w:tcPr>
          <w:p>
            <w:pPr>
              <w:pStyle w:val="null5"/>
              <w:jc w:val="left"/>
            </w:pPr>
            <w:r>
              <w:rPr>
                <w:rFonts w:ascii="仿宋_GB2312" w:hAnsi="仿宋_GB2312" w:cs="仿宋_GB2312" w:eastAsia="仿宋_GB2312"/>
              </w:rPr>
              <w:t>1、项目经理需同时具备信息系统项目管理师证书、CIIP-A、ITSS服务工程师得3分。 缺少一项扣2分，未提供不得分，满分3分。 2、实施团队中应配备两名IE工程师，每提供一个IE工程师认证证书得1分，最高得2分，满分2分。 注：团队人员须提供劳动合同，并出具投标截止之日前半年内任意一个月人员社保缴纳证明材料，未提供不得分。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