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锡林郭勒盟消防救援车辆及器材装备购置项目(器材模块运输消防车)</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锡林郭勒盟应急管理局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内蒙古慧臻元源项目管理咨询有限公司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152500-HZYY-GK-20250001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内蒙古慧臻元源项目管理咨询有限公司</w:t>
      </w:r>
      <w:r>
        <w:rPr>
          <w:rFonts w:ascii="仿宋_GB2312" w:hAnsi="仿宋_GB2312" w:cs="仿宋_GB2312" w:eastAsia="仿宋_GB2312"/>
        </w:rPr>
        <w:t xml:space="preserve"> 受 </w:t>
      </w:r>
      <w:r>
        <w:rPr>
          <w:rFonts w:ascii="仿宋_GB2312" w:hAnsi="仿宋_GB2312" w:cs="仿宋_GB2312" w:eastAsia="仿宋_GB2312"/>
        </w:rPr>
        <w:t>锡林郭勒盟应急管理局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锡林郭勒盟消防救援车辆及器材装备购置项目(器材模块运输消防车)</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锡林郭勒盟消防救援车辆及器材装备购置项目(器材模块运输消防车)</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152500-HZYY-GK-20250001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锡政采计划[2025]00060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2,281,000.00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器材模块运输消防车</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2,281,000.00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内蒙古慧臻元源项目管理咨询有限公司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内蒙古自治区呼和浩特市赛罕区新建东街世华大厦1号楼9单元1301</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郭美荣</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15647140089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锡林郭勒盟应急管理局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锡林郭勒盟检察分院办公楼408室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范爱军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15947091509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现场开标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质保期：两年</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锡林郭勒盟应急管理局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内蒙古慧臻元源项目管理咨询有限公司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信用管理"工作方案》的通知(锡财综(2024)455号)文件规定，提供《锡林郭勒盟政府采购供 应商信用承诺函》(格式详见公告附件)，无需提交证明材料。采购人有权在签订合同前要求 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信用管理"工作方案》的通知(锡财综(2024)455号)文件规定，提供《锡林郭勒盟政府采购供 应商信用承诺函》(格式详见公告附件)，无需提交证明材料。采购人有权在签订合同前要求 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信用管理"工作方案》的通知(锡财综(2024)455号)文件规定，提供《锡林郭勒盟政府采购供 应商信用承诺函》(格式详见公告附件)，无需提交证明材料。采购人有权在签订合同前要求 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信用管理"工作方案》的通知(锡财综(2024)455号)文件规定，提供《锡林郭勒盟政府采购供 应商信用承诺函》(格式详见公告附件)，无需提交证明材料。采购人有权在签订合同前要求 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信用管理"工作方案》的通知(锡财综(2024)455号)文件规定，提供《锡林郭勒盟政府采购供 应商信用承诺函》(格式详见公告附件)，无需提交证明材料。采购人有权在签订合同前要求 中标(成交)供应商提供相关证明材料以核实中标(成交)供应商承诺事项的真实性。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本项目采购器材模块运输消防车</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锡林郭勒盟消防救援支队</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1、签订合同后且乙方提交履约保证金后，达到付款条件起15日，支付合同总金额的60.00%</w:t>
            </w:r>
          </w:p>
          <w:p>
            <w:pPr>
              <w:pStyle w:val="null5"/>
              <w:jc w:val="left"/>
            </w:pPr>
            <w:r>
              <w:rPr>
                <w:rFonts w:ascii="仿宋_GB2312" w:hAnsi="仿宋_GB2312" w:cs="仿宋_GB2312" w:eastAsia="仿宋_GB2312"/>
              </w:rPr>
              <w:t>2、验收合格后30日内，达到付款条件起30日，支付合同总金额的40.00%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标的名称：器材模块运输消防车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color w:val="222222"/>
              </w:rPr>
              <w:t>器材模块运输消防车：</w:t>
            </w:r>
            <w:r>
              <w:rPr>
                <w:rFonts w:ascii="仿宋_GB2312" w:hAnsi="仿宋_GB2312" w:cs="仿宋_GB2312" w:eastAsia="仿宋_GB2312"/>
                <w:sz w:val="21"/>
                <w:color w:val="222222"/>
              </w:rPr>
              <w:t>1辆</w:t>
            </w:r>
          </w:p>
          <w:p>
            <w:pPr>
              <w:pStyle w:val="null5"/>
              <w:jc w:val="both"/>
            </w:pPr>
            <w:r>
              <w:rPr>
                <w:rFonts w:ascii="仿宋_GB2312" w:hAnsi="仿宋_GB2312" w:cs="仿宋_GB2312" w:eastAsia="仿宋_GB2312"/>
                <w:sz w:val="21"/>
                <w:color w:val="222222"/>
              </w:rPr>
              <w:t>1.整车符合《消防车通用技术条件》GB7956 规范要求，交车时提供投标产品国家级检验机构出具的检验报告及工信部公告证明。</w:t>
            </w:r>
          </w:p>
          <w:p>
            <w:pPr>
              <w:pStyle w:val="null5"/>
              <w:jc w:val="both"/>
            </w:pPr>
            <w:r>
              <w:rPr>
                <w:rFonts w:ascii="仿宋_GB2312" w:hAnsi="仿宋_GB2312" w:cs="仿宋_GB2312" w:eastAsia="仿宋_GB2312"/>
                <w:sz w:val="21"/>
                <w:color w:val="222222"/>
              </w:rPr>
              <w:t>2.车身颜色符合 GB/T3181 中规定的 RO3大红色，外观标识严格落实《消防救援局关于做好消防救援车辆外观制式涂装工作的通知》应急消〔2019〕76 号文件要求。</w:t>
            </w:r>
          </w:p>
          <w:p>
            <w:pPr>
              <w:pStyle w:val="null5"/>
              <w:jc w:val="both"/>
            </w:pPr>
            <w:r>
              <w:rPr>
                <w:rFonts w:ascii="仿宋_GB2312" w:hAnsi="仿宋_GB2312" w:cs="仿宋_GB2312" w:eastAsia="仿宋_GB2312"/>
                <w:sz w:val="21"/>
                <w:color w:val="222222"/>
              </w:rPr>
              <w:t>3.所有操作开关、仪表均有符合规范的标志；所有铆接保持一定的密度。所有焊接牢固、光洁、平整。所有粘接牢固可靠，并符合企标规定。</w:t>
            </w:r>
          </w:p>
          <w:p>
            <w:pPr>
              <w:pStyle w:val="null5"/>
              <w:jc w:val="both"/>
            </w:pPr>
            <w:r>
              <w:rPr>
                <w:rFonts w:ascii="仿宋_GB2312" w:hAnsi="仿宋_GB2312" w:cs="仿宋_GB2312" w:eastAsia="仿宋_GB2312"/>
                <w:sz w:val="21"/>
                <w:color w:val="222222"/>
              </w:rPr>
              <w:t>4.其它：配360°行车记录仪（内存不小于 32G），倒车雷达、倒车影像（并有语音提示功能）、驾驶室内监视器、三点式安全带；车辆前后有预留牌照架（符合现行应急车牌尺寸，采用金属 构件固定后结实耐用）；配子午线钢丝轮胎、胎压监测系统；配置前轮盘式制动器（全驱越野 底盘除外）、ABS（防抱死制动系统）和 EBS（电控制动系统）。</w:t>
            </w:r>
          </w:p>
          <w:p>
            <w:pPr>
              <w:pStyle w:val="null5"/>
              <w:jc w:val="both"/>
            </w:pPr>
            <w:r>
              <w:rPr>
                <w:rFonts w:ascii="仿宋_GB2312" w:hAnsi="仿宋_GB2312" w:cs="仿宋_GB2312" w:eastAsia="仿宋_GB2312"/>
                <w:sz w:val="21"/>
                <w:color w:val="222222"/>
              </w:rPr>
              <w:t>5.整车参数</w:t>
            </w:r>
          </w:p>
          <w:p>
            <w:pPr>
              <w:pStyle w:val="null5"/>
              <w:jc w:val="both"/>
            </w:pPr>
            <w:r>
              <w:rPr>
                <w:rFonts w:ascii="仿宋_GB2312" w:hAnsi="仿宋_GB2312" w:cs="仿宋_GB2312" w:eastAsia="仿宋_GB2312"/>
                <w:sz w:val="21"/>
                <w:color w:val="222222"/>
              </w:rPr>
              <w:t>5.1底盘 ：允许总质量≥20000kg；</w:t>
            </w:r>
          </w:p>
          <w:p>
            <w:pPr>
              <w:pStyle w:val="null5"/>
              <w:jc w:val="both"/>
            </w:pPr>
            <w:r>
              <w:rPr>
                <w:rFonts w:ascii="仿宋_GB2312" w:hAnsi="仿宋_GB2312" w:cs="仿宋_GB2312" w:eastAsia="仿宋_GB2312"/>
                <w:sz w:val="21"/>
                <w:color w:val="222222"/>
              </w:rPr>
              <w:t>★5.2驱动：6×4；</w:t>
            </w:r>
          </w:p>
          <w:p>
            <w:pPr>
              <w:pStyle w:val="null5"/>
              <w:jc w:val="both"/>
            </w:pPr>
            <w:r>
              <w:rPr>
                <w:rFonts w:ascii="仿宋_GB2312" w:hAnsi="仿宋_GB2312" w:cs="仿宋_GB2312" w:eastAsia="仿宋_GB2312"/>
                <w:sz w:val="21"/>
                <w:color w:val="222222"/>
              </w:rPr>
              <w:t>5.3 轴距：≥5775+1400mm；</w:t>
            </w:r>
          </w:p>
          <w:p>
            <w:pPr>
              <w:pStyle w:val="null5"/>
              <w:jc w:val="both"/>
            </w:pPr>
            <w:r>
              <w:rPr>
                <w:rFonts w:ascii="仿宋_GB2312" w:hAnsi="仿宋_GB2312" w:cs="仿宋_GB2312" w:eastAsia="仿宋_GB2312"/>
                <w:sz w:val="21"/>
                <w:color w:val="222222"/>
              </w:rPr>
              <w:t>5.4 外形尺寸：≤12000×2550×4000mm；</w:t>
            </w:r>
          </w:p>
          <w:p>
            <w:pPr>
              <w:pStyle w:val="null5"/>
              <w:jc w:val="both"/>
            </w:pPr>
            <w:r>
              <w:rPr>
                <w:rFonts w:ascii="仿宋_GB2312" w:hAnsi="仿宋_GB2312" w:cs="仿宋_GB2312" w:eastAsia="仿宋_GB2312"/>
                <w:sz w:val="21"/>
                <w:color w:val="222222"/>
              </w:rPr>
              <w:t>5.5 变速箱换挡方式：手动换挡；</w:t>
            </w:r>
          </w:p>
          <w:p>
            <w:pPr>
              <w:pStyle w:val="null5"/>
              <w:jc w:val="both"/>
            </w:pPr>
            <w:r>
              <w:rPr>
                <w:rFonts w:ascii="仿宋_GB2312" w:hAnsi="仿宋_GB2312" w:cs="仿宋_GB2312" w:eastAsia="仿宋_GB2312"/>
                <w:sz w:val="21"/>
                <w:color w:val="222222"/>
              </w:rPr>
              <w:t>5.6 车速：≥90km/h；</w:t>
            </w:r>
          </w:p>
          <w:p>
            <w:pPr>
              <w:pStyle w:val="null5"/>
              <w:jc w:val="both"/>
            </w:pPr>
            <w:r>
              <w:rPr>
                <w:rFonts w:ascii="仿宋_GB2312" w:hAnsi="仿宋_GB2312" w:cs="仿宋_GB2312" w:eastAsia="仿宋_GB2312"/>
                <w:sz w:val="21"/>
                <w:color w:val="222222"/>
              </w:rPr>
              <w:t>★5.7 发动机及功率：柴油燃料，功率≥250kW；符合国 6 排放标准；</w:t>
            </w:r>
          </w:p>
          <w:p>
            <w:pPr>
              <w:pStyle w:val="null5"/>
              <w:jc w:val="both"/>
            </w:pPr>
            <w:r>
              <w:rPr>
                <w:rFonts w:ascii="仿宋_GB2312" w:hAnsi="仿宋_GB2312" w:cs="仿宋_GB2312" w:eastAsia="仿宋_GB2312"/>
                <w:sz w:val="21"/>
                <w:color w:val="222222"/>
              </w:rPr>
              <w:t>5.8 底盘发动机形式：直列 6 缸、电控高压共轨、涡轮增压中冷柴油发动机；</w:t>
            </w:r>
          </w:p>
          <w:p>
            <w:pPr>
              <w:pStyle w:val="null5"/>
              <w:jc w:val="both"/>
            </w:pPr>
            <w:r>
              <w:rPr>
                <w:rFonts w:ascii="仿宋_GB2312" w:hAnsi="仿宋_GB2312" w:cs="仿宋_GB2312" w:eastAsia="仿宋_GB2312"/>
                <w:sz w:val="21"/>
                <w:color w:val="222222"/>
              </w:rPr>
              <w:t>5.9 底盘油料箱容积：≥200L；</w:t>
            </w:r>
          </w:p>
          <w:p>
            <w:pPr>
              <w:pStyle w:val="null5"/>
              <w:jc w:val="both"/>
            </w:pPr>
            <w:r>
              <w:rPr>
                <w:rFonts w:ascii="仿宋_GB2312" w:hAnsi="仿宋_GB2312" w:cs="仿宋_GB2312" w:eastAsia="仿宋_GB2312"/>
                <w:sz w:val="21"/>
                <w:color w:val="222222"/>
              </w:rPr>
              <w:t>5.10 轮胎：原厂标准配置备用轮胎 1 个，子午线钢丝型/真空胎；</w:t>
            </w:r>
          </w:p>
          <w:p>
            <w:pPr>
              <w:pStyle w:val="null5"/>
              <w:jc w:val="both"/>
            </w:pPr>
            <w:r>
              <w:rPr>
                <w:rFonts w:ascii="仿宋_GB2312" w:hAnsi="仿宋_GB2312" w:cs="仿宋_GB2312" w:eastAsia="仿宋_GB2312"/>
                <w:sz w:val="21"/>
                <w:color w:val="222222"/>
              </w:rPr>
              <w:t>5.11 底盘免费维护保养≥1年；</w:t>
            </w:r>
          </w:p>
          <w:p>
            <w:pPr>
              <w:pStyle w:val="null5"/>
              <w:jc w:val="both"/>
            </w:pPr>
            <w:r>
              <w:rPr>
                <w:rFonts w:ascii="仿宋_GB2312" w:hAnsi="仿宋_GB2312" w:cs="仿宋_GB2312" w:eastAsia="仿宋_GB2312"/>
                <w:sz w:val="21"/>
                <w:color w:val="222222"/>
              </w:rPr>
              <w:t>5.12 配置ABS、EBA+ESC等安全辅助设施；</w:t>
            </w:r>
          </w:p>
          <w:p>
            <w:pPr>
              <w:pStyle w:val="null5"/>
              <w:jc w:val="both"/>
            </w:pPr>
            <w:r>
              <w:rPr>
                <w:rFonts w:ascii="仿宋_GB2312" w:hAnsi="仿宋_GB2312" w:cs="仿宋_GB2312" w:eastAsia="仿宋_GB2312"/>
                <w:sz w:val="21"/>
                <w:color w:val="222222"/>
              </w:rPr>
              <w:t>5.13 悬架：前板簧后气囊 。</w:t>
            </w:r>
          </w:p>
          <w:p>
            <w:pPr>
              <w:pStyle w:val="null5"/>
              <w:jc w:val="both"/>
            </w:pPr>
            <w:r>
              <w:rPr>
                <w:rFonts w:ascii="仿宋_GB2312" w:hAnsi="仿宋_GB2312" w:cs="仿宋_GB2312" w:eastAsia="仿宋_GB2312"/>
                <w:sz w:val="21"/>
                <w:color w:val="222222"/>
              </w:rPr>
              <w:t>6.驾驶室</w:t>
            </w:r>
          </w:p>
          <w:p>
            <w:pPr>
              <w:pStyle w:val="null5"/>
              <w:jc w:val="both"/>
            </w:pPr>
            <w:r>
              <w:rPr>
                <w:rFonts w:ascii="仿宋_GB2312" w:hAnsi="仿宋_GB2312" w:cs="仿宋_GB2312" w:eastAsia="仿宋_GB2312"/>
                <w:sz w:val="21"/>
                <w:color w:val="222222"/>
              </w:rPr>
              <w:t>6.1驾驶室：2 门标准驾驶室，带卧铺，外形美观、平整，具有中控锁、翻转助力系统，翻转支撑结构可靠，四点悬浮；配备冷暖空调，室内 LED 照明；</w:t>
            </w:r>
          </w:p>
          <w:p>
            <w:pPr>
              <w:pStyle w:val="null5"/>
              <w:jc w:val="both"/>
            </w:pPr>
            <w:r>
              <w:rPr>
                <w:rFonts w:ascii="仿宋_GB2312" w:hAnsi="仿宋_GB2312" w:cs="仿宋_GB2312" w:eastAsia="仿宋_GB2312"/>
                <w:sz w:val="21"/>
                <w:color w:val="222222"/>
              </w:rPr>
              <w:t>6.2 座位设置：座位≥2 人，乘员座椅舒适度符合长途乘坐要求；</w:t>
            </w:r>
          </w:p>
          <w:p>
            <w:pPr>
              <w:pStyle w:val="null5"/>
              <w:jc w:val="both"/>
            </w:pPr>
            <w:r>
              <w:rPr>
                <w:rFonts w:ascii="仿宋_GB2312" w:hAnsi="仿宋_GB2312" w:cs="仿宋_GB2312" w:eastAsia="仿宋_GB2312"/>
                <w:sz w:val="21"/>
                <w:color w:val="222222"/>
              </w:rPr>
              <w:t>6.3 座椅配置：驾驶员空气悬浮座椅；</w:t>
            </w:r>
          </w:p>
          <w:p>
            <w:pPr>
              <w:pStyle w:val="null5"/>
              <w:jc w:val="both"/>
            </w:pPr>
            <w:r>
              <w:rPr>
                <w:rFonts w:ascii="仿宋_GB2312" w:hAnsi="仿宋_GB2312" w:cs="仿宋_GB2312" w:eastAsia="仿宋_GB2312"/>
                <w:sz w:val="21"/>
                <w:color w:val="222222"/>
              </w:rPr>
              <w:t>6.4 驾驶室可单独翻转，翻转角≥45º,以方便日常发动机的维护与保养；</w:t>
            </w:r>
          </w:p>
          <w:p>
            <w:pPr>
              <w:pStyle w:val="null5"/>
              <w:jc w:val="both"/>
            </w:pPr>
            <w:r>
              <w:rPr>
                <w:rFonts w:ascii="仿宋_GB2312" w:hAnsi="仿宋_GB2312" w:cs="仿宋_GB2312" w:eastAsia="仿宋_GB2312"/>
                <w:sz w:val="21"/>
                <w:color w:val="222222"/>
              </w:rPr>
              <w:t>6.5 门窗：中控门锁+钥匙控制、电动天窗、电动玻璃升降；</w:t>
            </w:r>
          </w:p>
          <w:p>
            <w:pPr>
              <w:pStyle w:val="null5"/>
              <w:jc w:val="both"/>
            </w:pPr>
            <w:r>
              <w:rPr>
                <w:rFonts w:ascii="仿宋_GB2312" w:hAnsi="仿宋_GB2312" w:cs="仿宋_GB2312" w:eastAsia="仿宋_GB2312"/>
                <w:sz w:val="21"/>
                <w:color w:val="222222"/>
              </w:rPr>
              <w:t>6.6 后视镜：电动调节后视镜及后视镜电加热；</w:t>
            </w:r>
          </w:p>
          <w:p>
            <w:pPr>
              <w:pStyle w:val="null5"/>
              <w:jc w:val="both"/>
            </w:pPr>
            <w:r>
              <w:rPr>
                <w:rFonts w:ascii="仿宋_GB2312" w:hAnsi="仿宋_GB2312" w:cs="仿宋_GB2312" w:eastAsia="仿宋_GB2312"/>
                <w:sz w:val="21"/>
                <w:color w:val="222222"/>
              </w:rPr>
              <w:t>6.7 电器设备保险丝：驾驶室及模块底盘各路电器对应相应保险，对电路进行保护；</w:t>
            </w:r>
          </w:p>
          <w:p>
            <w:pPr>
              <w:pStyle w:val="null5"/>
              <w:jc w:val="both"/>
            </w:pPr>
            <w:r>
              <w:rPr>
                <w:rFonts w:ascii="仿宋_GB2312" w:hAnsi="仿宋_GB2312" w:cs="仿宋_GB2312" w:eastAsia="仿宋_GB2312"/>
                <w:sz w:val="21"/>
                <w:color w:val="222222"/>
              </w:rPr>
              <w:t>6.8 电源总开关：发动机启动电瓶与全车供电系统分别设置电源总开关；</w:t>
            </w:r>
          </w:p>
          <w:p>
            <w:pPr>
              <w:pStyle w:val="null5"/>
              <w:jc w:val="both"/>
            </w:pPr>
            <w:r>
              <w:rPr>
                <w:rFonts w:ascii="仿宋_GB2312" w:hAnsi="仿宋_GB2312" w:cs="仿宋_GB2312" w:eastAsia="仿宋_GB2312"/>
                <w:sz w:val="21"/>
                <w:color w:val="222222"/>
              </w:rPr>
              <w:t>6.9 冷暖空调系统：环保大容量大功率空调系统，能满足高温天气的使用条件；</w:t>
            </w:r>
          </w:p>
          <w:p>
            <w:pPr>
              <w:pStyle w:val="null5"/>
              <w:jc w:val="both"/>
            </w:pPr>
            <w:r>
              <w:rPr>
                <w:rFonts w:ascii="仿宋_GB2312" w:hAnsi="仿宋_GB2312" w:cs="仿宋_GB2312" w:eastAsia="仿宋_GB2312"/>
                <w:sz w:val="21"/>
                <w:color w:val="222222"/>
              </w:rPr>
              <w:t>6.10 仪表和感应器：仪表上可显示模块各种运行状态及报警指示，底盘相应配置有各种传感器可实现底盘数据的采集及上传至仪表；</w:t>
            </w:r>
          </w:p>
          <w:p>
            <w:pPr>
              <w:pStyle w:val="null5"/>
              <w:jc w:val="both"/>
            </w:pPr>
            <w:r>
              <w:rPr>
                <w:rFonts w:ascii="仿宋_GB2312" w:hAnsi="仿宋_GB2312" w:cs="仿宋_GB2312" w:eastAsia="仿宋_GB2312"/>
                <w:sz w:val="21"/>
                <w:color w:val="222222"/>
              </w:rPr>
              <w:t>6.11 仪表板上应预留通讯设备、GPS 导航设备的安装位置，预留车载电台、GPS 或北斗定位等≥15A 的电源接口≥4 个（24V 接口≥2 个、12V 接口≥2 个），当所需电源的电压、电流与整车电源不符时，必须装有变压整流设备，不得直接与电瓶连接；6.12警灯：驾驶室顶部加装纯红长排警灯；</w:t>
            </w:r>
          </w:p>
          <w:p>
            <w:pPr>
              <w:pStyle w:val="null5"/>
              <w:jc w:val="both"/>
            </w:pPr>
            <w:r>
              <w:rPr>
                <w:rFonts w:ascii="仿宋_GB2312" w:hAnsi="仿宋_GB2312" w:cs="仿宋_GB2312" w:eastAsia="仿宋_GB2312"/>
                <w:sz w:val="21"/>
                <w:color w:val="222222"/>
              </w:rPr>
              <w:t>6.13 驾驶室内加装 ≥100W 警报器，可实现如下控制功能：前驾驶室需满足对长排警灯、车身两侧爆闪灯、整车行车总电源、警报及喊话功能。</w:t>
            </w:r>
          </w:p>
          <w:p>
            <w:pPr>
              <w:pStyle w:val="null5"/>
              <w:jc w:val="both"/>
            </w:pPr>
            <w:r>
              <w:rPr>
                <w:rFonts w:ascii="仿宋_GB2312" w:hAnsi="仿宋_GB2312" w:cs="仿宋_GB2312" w:eastAsia="仿宋_GB2312"/>
                <w:sz w:val="21"/>
                <w:color w:val="222222"/>
              </w:rPr>
              <w:t>7.裙箱系统</w:t>
            </w:r>
          </w:p>
          <w:p>
            <w:pPr>
              <w:pStyle w:val="null5"/>
              <w:jc w:val="both"/>
            </w:pPr>
            <w:r>
              <w:rPr>
                <w:rFonts w:ascii="仿宋_GB2312" w:hAnsi="仿宋_GB2312" w:cs="仿宋_GB2312" w:eastAsia="仿宋_GB2312"/>
                <w:sz w:val="21"/>
                <w:color w:val="222222"/>
              </w:rPr>
              <w:t>▲7.1 裙箱：拖车底盘裙箱设计为具备侧防护型，裙边增加平板运输车专用绳索拉紧装置；</w:t>
            </w:r>
          </w:p>
          <w:p>
            <w:pPr>
              <w:pStyle w:val="null5"/>
              <w:jc w:val="both"/>
            </w:pPr>
            <w:r>
              <w:rPr>
                <w:rFonts w:ascii="仿宋_GB2312" w:hAnsi="仿宋_GB2312" w:cs="仿宋_GB2312" w:eastAsia="仿宋_GB2312"/>
                <w:sz w:val="21"/>
                <w:color w:val="222222"/>
              </w:rPr>
              <w:t>7.2 裙箱内安装10kw发电机，满足上装模块方舱液压供电需要。</w:t>
            </w:r>
          </w:p>
          <w:p>
            <w:pPr>
              <w:pStyle w:val="null5"/>
              <w:jc w:val="both"/>
            </w:pPr>
            <w:r>
              <w:rPr>
                <w:rFonts w:ascii="仿宋_GB2312" w:hAnsi="仿宋_GB2312" w:cs="仿宋_GB2312" w:eastAsia="仿宋_GB2312"/>
                <w:sz w:val="21"/>
                <w:color w:val="222222"/>
              </w:rPr>
              <w:t>8.整车外观</w:t>
            </w:r>
          </w:p>
          <w:p>
            <w:pPr>
              <w:pStyle w:val="null5"/>
              <w:jc w:val="both"/>
            </w:pPr>
            <w:r>
              <w:rPr>
                <w:rFonts w:ascii="仿宋_GB2312" w:hAnsi="仿宋_GB2312" w:cs="仿宋_GB2312" w:eastAsia="仿宋_GB2312"/>
                <w:sz w:val="21"/>
                <w:color w:val="222222"/>
              </w:rPr>
              <w:t>8.1外观设计：整车外观保持一定的美观性，整车安装牢固；</w:t>
            </w:r>
          </w:p>
          <w:p>
            <w:pPr>
              <w:pStyle w:val="null5"/>
              <w:jc w:val="both"/>
            </w:pPr>
            <w:r>
              <w:rPr>
                <w:rFonts w:ascii="仿宋_GB2312" w:hAnsi="仿宋_GB2312" w:cs="仿宋_GB2312" w:eastAsia="仿宋_GB2312"/>
                <w:sz w:val="21"/>
                <w:color w:val="222222"/>
              </w:rPr>
              <w:t>8.2 表面处理：下部裙箱焊接所用板材、零部件均进行严格的防腐防锈处理；</w:t>
            </w:r>
          </w:p>
          <w:p>
            <w:pPr>
              <w:pStyle w:val="null5"/>
              <w:jc w:val="both"/>
            </w:pPr>
            <w:r>
              <w:rPr>
                <w:rFonts w:ascii="仿宋_GB2312" w:hAnsi="仿宋_GB2312" w:cs="仿宋_GB2312" w:eastAsia="仿宋_GB2312"/>
                <w:sz w:val="21"/>
                <w:color w:val="222222"/>
              </w:rPr>
              <w:t>8.3反光警示贴：符合《GB23254-2009》车身反光标识及《G25990-2010》模块尾部标志板要求；</w:t>
            </w:r>
          </w:p>
          <w:p>
            <w:pPr>
              <w:pStyle w:val="null5"/>
              <w:jc w:val="both"/>
            </w:pPr>
            <w:r>
              <w:rPr>
                <w:rFonts w:ascii="仿宋_GB2312" w:hAnsi="仿宋_GB2312" w:cs="仿宋_GB2312" w:eastAsia="仿宋_GB2312"/>
                <w:sz w:val="21"/>
                <w:color w:val="222222"/>
              </w:rPr>
              <w:t>8.4外观装饰：按照《消防救援局关于做好消防救援模块外观制式涂装工作的通知》（消防消[2019]76 号）要求涂装。</w:t>
            </w:r>
          </w:p>
          <w:p>
            <w:pPr>
              <w:pStyle w:val="null5"/>
              <w:jc w:val="both"/>
            </w:pPr>
            <w:r>
              <w:rPr>
                <w:rFonts w:ascii="仿宋_GB2312" w:hAnsi="仿宋_GB2312" w:cs="仿宋_GB2312" w:eastAsia="仿宋_GB2312"/>
                <w:sz w:val="21"/>
                <w:color w:val="222222"/>
              </w:rPr>
              <w:t>9.随车文件</w:t>
            </w:r>
          </w:p>
          <w:p>
            <w:pPr>
              <w:pStyle w:val="null5"/>
              <w:jc w:val="both"/>
            </w:pPr>
            <w:r>
              <w:rPr>
                <w:rFonts w:ascii="仿宋_GB2312" w:hAnsi="仿宋_GB2312" w:cs="仿宋_GB2312" w:eastAsia="仿宋_GB2312"/>
                <w:sz w:val="21"/>
                <w:color w:val="222222"/>
              </w:rPr>
              <w:t>9.1底盘合格证、整车合格证、工信部车型公告证明材料；9.2底盘随车文件1套；9.3使用说明书 2 份；9.4随车工具清单1份；9.5随车备件及附件清单1份；9.6发动机号码拓印件、底盘号码拓印件各2份。</w:t>
            </w:r>
          </w:p>
          <w:p>
            <w:pPr>
              <w:pStyle w:val="null5"/>
              <w:jc w:val="both"/>
            </w:pPr>
            <w:r>
              <w:rPr>
                <w:rFonts w:ascii="仿宋_GB2312" w:hAnsi="仿宋_GB2312" w:cs="仿宋_GB2312" w:eastAsia="仿宋_GB2312"/>
                <w:sz w:val="21"/>
                <w:color w:val="222222"/>
              </w:rPr>
              <w:t>10.器材运输模块</w:t>
            </w:r>
          </w:p>
          <w:p>
            <w:pPr>
              <w:pStyle w:val="null5"/>
              <w:jc w:val="both"/>
            </w:pPr>
            <w:r>
              <w:rPr>
                <w:rFonts w:ascii="仿宋_GB2312" w:hAnsi="仿宋_GB2312" w:cs="仿宋_GB2312" w:eastAsia="仿宋_GB2312"/>
                <w:sz w:val="21"/>
                <w:color w:val="222222"/>
              </w:rPr>
              <w:t>10.1模块厢体：模块整体材质：，块制作采用铝型材或碳钢电泳磷化工艺，防腐防锈性能≥8年；</w:t>
            </w:r>
          </w:p>
          <w:p>
            <w:pPr>
              <w:pStyle w:val="null5"/>
              <w:jc w:val="both"/>
            </w:pPr>
            <w:r>
              <w:rPr>
                <w:rFonts w:ascii="仿宋_GB2312" w:hAnsi="仿宋_GB2312" w:cs="仿宋_GB2312" w:eastAsia="仿宋_GB2312"/>
                <w:sz w:val="21"/>
                <w:color w:val="222222"/>
              </w:rPr>
              <w:t>10.2模块尺寸：外形尺寸参考标准集装箱尺寸设计，长×宽×高：≥9000×2400×2500mm;室内净高：≥2000mm，允许最大承载量≥10000kg；</w:t>
            </w:r>
          </w:p>
          <w:p>
            <w:pPr>
              <w:pStyle w:val="null5"/>
              <w:jc w:val="both"/>
            </w:pPr>
            <w:r>
              <w:rPr>
                <w:rFonts w:ascii="仿宋_GB2312" w:hAnsi="仿宋_GB2312" w:cs="仿宋_GB2312" w:eastAsia="仿宋_GB2312"/>
                <w:sz w:val="21"/>
                <w:color w:val="222222"/>
              </w:rPr>
              <w:t>10.3内饰材料：模块厢体底部采用氧化花纹铝板装饰，侧面和顶板采用装饰板装饰；</w:t>
            </w:r>
          </w:p>
          <w:p>
            <w:pPr>
              <w:pStyle w:val="null5"/>
              <w:jc w:val="both"/>
            </w:pPr>
            <w:r>
              <w:rPr>
                <w:rFonts w:ascii="仿宋_GB2312" w:hAnsi="仿宋_GB2312" w:cs="仿宋_GB2312" w:eastAsia="仿宋_GB2312"/>
                <w:sz w:val="21"/>
                <w:color w:val="222222"/>
              </w:rPr>
              <w:t>10.4防水防尘：模块厢体设计采用密封结构，模块舱门设计止口安装密封条，保证模块整体防水防尘性能；</w:t>
            </w:r>
          </w:p>
          <w:p>
            <w:pPr>
              <w:pStyle w:val="null5"/>
              <w:jc w:val="both"/>
            </w:pPr>
            <w:r>
              <w:rPr>
                <w:rFonts w:ascii="仿宋_GB2312" w:hAnsi="仿宋_GB2312" w:cs="仿宋_GB2312" w:eastAsia="仿宋_GB2312"/>
                <w:sz w:val="21"/>
                <w:color w:val="222222"/>
              </w:rPr>
              <w:t>10.5模块运输：除使用专用载车平台运输转运外，可借助民用集装箱运输车进行运输舱体，适合民用平板车运输，满足常规道路运输的限宽限高要求；</w:t>
            </w:r>
          </w:p>
          <w:p>
            <w:pPr>
              <w:pStyle w:val="null5"/>
              <w:jc w:val="both"/>
            </w:pPr>
            <w:r>
              <w:rPr>
                <w:rFonts w:ascii="仿宋_GB2312" w:hAnsi="仿宋_GB2312" w:cs="仿宋_GB2312" w:eastAsia="仿宋_GB2312"/>
                <w:sz w:val="21"/>
                <w:color w:val="222222"/>
              </w:rPr>
              <w:t>10.6模块舱门：上开启结构，下部设计能在地面与模块底部形成桥梁结构，便于小器材车直接上下；具备锁止与密封结构，开启角度≥90°；</w:t>
            </w:r>
          </w:p>
          <w:p>
            <w:pPr>
              <w:pStyle w:val="null5"/>
              <w:jc w:val="both"/>
            </w:pPr>
            <w:r>
              <w:rPr>
                <w:rFonts w:ascii="仿宋_GB2312" w:hAnsi="仿宋_GB2312" w:cs="仿宋_GB2312" w:eastAsia="仿宋_GB2312"/>
                <w:sz w:val="21"/>
                <w:color w:val="222222"/>
              </w:rPr>
              <w:t>10.7模块上下车形式：采用自动上下车形式，便捷性高；</w:t>
            </w:r>
          </w:p>
          <w:p>
            <w:pPr>
              <w:pStyle w:val="null5"/>
              <w:jc w:val="both"/>
            </w:pPr>
            <w:r>
              <w:rPr>
                <w:rFonts w:ascii="仿宋_GB2312" w:hAnsi="仿宋_GB2312" w:cs="仿宋_GB2312" w:eastAsia="仿宋_GB2312"/>
                <w:sz w:val="21"/>
                <w:color w:val="222222"/>
              </w:rPr>
              <w:t>▲10.8.经6mm水量1小时淋雨后，方舱的底板、顶板、各侧板以及穿过各板的紧固件无渗漏水，投标时提供第三方带有CMA或CNAS标识的检测报告。</w:t>
            </w:r>
          </w:p>
          <w:p>
            <w:pPr>
              <w:pStyle w:val="null5"/>
              <w:jc w:val="both"/>
            </w:pPr>
            <w:r>
              <w:rPr>
                <w:rFonts w:ascii="仿宋_GB2312" w:hAnsi="仿宋_GB2312" w:cs="仿宋_GB2312" w:eastAsia="仿宋_GB2312"/>
                <w:sz w:val="21"/>
                <w:color w:val="222222"/>
              </w:rPr>
              <w:t>11.功能要求</w:t>
            </w:r>
          </w:p>
          <w:p>
            <w:pPr>
              <w:pStyle w:val="null5"/>
              <w:jc w:val="both"/>
            </w:pPr>
            <w:r>
              <w:rPr>
                <w:rFonts w:ascii="仿宋_GB2312" w:hAnsi="仿宋_GB2312" w:cs="仿宋_GB2312" w:eastAsia="仿宋_GB2312"/>
                <w:sz w:val="21"/>
                <w:color w:val="222222"/>
              </w:rPr>
              <w:t>11.1模块舱尺寸：长度≥6000mm、宽度≥2300mm、高度≥2000mm，可满足大件装备的存放，地板配有固定约束设施；</w:t>
            </w:r>
          </w:p>
          <w:p>
            <w:pPr>
              <w:pStyle w:val="null5"/>
              <w:jc w:val="both"/>
            </w:pPr>
            <w:r>
              <w:rPr>
                <w:rFonts w:ascii="仿宋_GB2312" w:hAnsi="仿宋_GB2312" w:cs="仿宋_GB2312" w:eastAsia="仿宋_GB2312"/>
                <w:sz w:val="21"/>
                <w:color w:val="222222"/>
              </w:rPr>
              <w:t>11.2模块内器材架可灵活进行布置，可根据常装备维修、水域救援、地震救援、物资保障等不同模块进行灵活调整，满足不同物资存储的需求，模块内器材架设置为全部采用可拆卸、自行组装的形式；</w:t>
            </w:r>
          </w:p>
          <w:p>
            <w:pPr>
              <w:pStyle w:val="null5"/>
              <w:jc w:val="both"/>
            </w:pPr>
            <w:r>
              <w:rPr>
                <w:rFonts w:ascii="仿宋_GB2312" w:hAnsi="仿宋_GB2312" w:cs="仿宋_GB2312" w:eastAsia="仿宋_GB2312"/>
                <w:sz w:val="21"/>
                <w:color w:val="222222"/>
              </w:rPr>
              <w:t>11.3装备架：可调整式装备架，内部器材架采用金属材质，配有约束、紧固装置，可实现活动可拆卸式的快拆结构形式，满足不同装备的存储时的自由组合。</w:t>
            </w:r>
          </w:p>
          <w:p>
            <w:pPr>
              <w:pStyle w:val="null5"/>
              <w:jc w:val="both"/>
            </w:pPr>
            <w:r>
              <w:rPr>
                <w:rFonts w:ascii="仿宋_GB2312" w:hAnsi="仿宋_GB2312" w:cs="仿宋_GB2312" w:eastAsia="仿宋_GB2312"/>
                <w:sz w:val="21"/>
                <w:color w:val="222222"/>
              </w:rPr>
              <w:t>12.电器系统</w:t>
            </w:r>
          </w:p>
          <w:p>
            <w:pPr>
              <w:pStyle w:val="null5"/>
              <w:jc w:val="both"/>
            </w:pPr>
            <w:r>
              <w:rPr>
                <w:rFonts w:ascii="仿宋_GB2312" w:hAnsi="仿宋_GB2312" w:cs="仿宋_GB2312" w:eastAsia="仿宋_GB2312"/>
                <w:sz w:val="21"/>
                <w:color w:val="222222"/>
              </w:rPr>
              <w:t>12.1市电输入：配置市电、外接电源等多种供电方式(接口和线路所承载供电能力大于所有用电设备功率总和，计算通过的电流安培数),满足国标制式插座等配置，智能化管理模块供配电系统，外供插座防雨淋、防尘符合 IP65 等级；</w:t>
            </w:r>
          </w:p>
          <w:p>
            <w:pPr>
              <w:pStyle w:val="null5"/>
              <w:jc w:val="both"/>
            </w:pPr>
            <w:r>
              <w:rPr>
                <w:rFonts w:ascii="仿宋_GB2312" w:hAnsi="仿宋_GB2312" w:cs="仿宋_GB2312" w:eastAsia="仿宋_GB2312"/>
                <w:sz w:val="21"/>
                <w:color w:val="222222"/>
              </w:rPr>
              <w:t>12.2接地防雷：配置接地功能和防雷措施，安全用电措施，防止出现触电等危险状况；</w:t>
            </w:r>
          </w:p>
          <w:p>
            <w:pPr>
              <w:pStyle w:val="null5"/>
              <w:jc w:val="both"/>
            </w:pPr>
            <w:r>
              <w:rPr>
                <w:rFonts w:ascii="仿宋_GB2312" w:hAnsi="仿宋_GB2312" w:cs="仿宋_GB2312" w:eastAsia="仿宋_GB2312"/>
                <w:sz w:val="21"/>
                <w:color w:val="222222"/>
              </w:rPr>
              <w:t>12.3 应急供电：可通过外电等不同形式提供电能，保障模块上下车使用；还设有外接供电输出面板满足为其他设备提供220V动力电源输出，配不低于30米2×6平方的线盘。</w:t>
            </w:r>
          </w:p>
          <w:p>
            <w:pPr>
              <w:pStyle w:val="null5"/>
              <w:jc w:val="both"/>
            </w:pPr>
            <w:r>
              <w:rPr>
                <w:rFonts w:ascii="仿宋_GB2312" w:hAnsi="仿宋_GB2312" w:cs="仿宋_GB2312" w:eastAsia="仿宋_GB2312"/>
                <w:sz w:val="21"/>
                <w:color w:val="222222"/>
              </w:rPr>
              <w:t>13.其他要求</w:t>
            </w:r>
          </w:p>
          <w:p>
            <w:pPr>
              <w:pStyle w:val="null5"/>
              <w:jc w:val="both"/>
            </w:pPr>
            <w:r>
              <w:rPr>
                <w:rFonts w:ascii="仿宋_GB2312" w:hAnsi="仿宋_GB2312" w:cs="仿宋_GB2312" w:eastAsia="仿宋_GB2312"/>
                <w:sz w:val="21"/>
                <w:color w:val="222222"/>
              </w:rPr>
              <w:t>13.1 整车执行《GB7956.1-2014》和消防车相关的标准；</w:t>
            </w:r>
          </w:p>
          <w:p>
            <w:pPr>
              <w:pStyle w:val="null5"/>
              <w:jc w:val="both"/>
            </w:pPr>
            <w:r>
              <w:rPr>
                <w:rFonts w:ascii="仿宋_GB2312" w:hAnsi="仿宋_GB2312" w:cs="仿宋_GB2312" w:eastAsia="仿宋_GB2312"/>
                <w:sz w:val="21"/>
                <w:color w:val="222222"/>
              </w:rPr>
              <w:t>13.2整车标记符合GB7258-2004《机动车安全技术条件》；</w:t>
            </w:r>
          </w:p>
          <w:p>
            <w:pPr>
              <w:pStyle w:val="null5"/>
              <w:jc w:val="both"/>
            </w:pPr>
            <w:r>
              <w:rPr>
                <w:rFonts w:ascii="仿宋_GB2312" w:hAnsi="仿宋_GB2312" w:cs="仿宋_GB2312" w:eastAsia="仿宋_GB2312"/>
                <w:sz w:val="21"/>
                <w:color w:val="222222"/>
              </w:rPr>
              <w:t>13.3整车外部照明和信号装置符合GB4785-1998《汽车及挂车外部照明和信号装置的安装规定》；</w:t>
            </w:r>
          </w:p>
          <w:p>
            <w:pPr>
              <w:pStyle w:val="null5"/>
              <w:jc w:val="both"/>
            </w:pPr>
            <w:r>
              <w:rPr>
                <w:rFonts w:ascii="仿宋_GB2312" w:hAnsi="仿宋_GB2312" w:cs="仿宋_GB2312" w:eastAsia="仿宋_GB2312"/>
                <w:sz w:val="21"/>
                <w:color w:val="222222"/>
              </w:rPr>
              <w:t>13.4整车后下防护要求符合GB11567.1-2001《汽车和挂车后下部防护要求》；</w:t>
            </w:r>
          </w:p>
          <w:p>
            <w:pPr>
              <w:pStyle w:val="null5"/>
              <w:jc w:val="both"/>
            </w:pPr>
            <w:r>
              <w:rPr>
                <w:rFonts w:ascii="仿宋_GB2312" w:hAnsi="仿宋_GB2312" w:cs="仿宋_GB2312" w:eastAsia="仿宋_GB2312"/>
                <w:sz w:val="21"/>
                <w:color w:val="222222"/>
              </w:rPr>
              <w:t>13.5整车外廓尺寸、轴荷及质量限值符合GB1589-2004 有关规定；</w:t>
            </w:r>
          </w:p>
          <w:p>
            <w:pPr>
              <w:pStyle w:val="null5"/>
              <w:jc w:val="both"/>
            </w:pPr>
            <w:r>
              <w:rPr>
                <w:rFonts w:ascii="仿宋_GB2312" w:hAnsi="仿宋_GB2312" w:cs="仿宋_GB2312" w:eastAsia="仿宋_GB2312"/>
                <w:sz w:val="21"/>
                <w:color w:val="222222"/>
              </w:rPr>
              <w:t>13.6凡本技术参数低于现行国家标准的，均需满足现行国家标准；</w:t>
            </w:r>
          </w:p>
          <w:p>
            <w:pPr>
              <w:pStyle w:val="null5"/>
              <w:jc w:val="both"/>
            </w:pPr>
            <w:r>
              <w:rPr>
                <w:rFonts w:ascii="仿宋_GB2312" w:hAnsi="仿宋_GB2312" w:cs="仿宋_GB2312" w:eastAsia="仿宋_GB2312"/>
                <w:sz w:val="21"/>
                <w:color w:val="222222"/>
              </w:rPr>
              <w:t>14模块厢体</w:t>
            </w:r>
          </w:p>
          <w:p>
            <w:pPr>
              <w:pStyle w:val="null5"/>
              <w:jc w:val="both"/>
            </w:pPr>
            <w:r>
              <w:rPr>
                <w:rFonts w:ascii="仿宋_GB2312" w:hAnsi="仿宋_GB2312" w:cs="仿宋_GB2312" w:eastAsia="仿宋_GB2312"/>
                <w:sz w:val="21"/>
                <w:color w:val="222222"/>
              </w:rPr>
              <w:t>14.1模块整体材质：模块制作采用碳钢工艺，防腐防锈性能≥8 年；</w:t>
            </w:r>
          </w:p>
          <w:p>
            <w:pPr>
              <w:pStyle w:val="null5"/>
              <w:jc w:val="both"/>
            </w:pPr>
            <w:r>
              <w:rPr>
                <w:rFonts w:ascii="仿宋_GB2312" w:hAnsi="仿宋_GB2312" w:cs="仿宋_GB2312" w:eastAsia="仿宋_GB2312"/>
                <w:sz w:val="21"/>
                <w:color w:val="222222"/>
              </w:rPr>
              <w:t>▲14.1.1模块尺寸： 外形尺寸参考标准集装箱尺寸设计， 长×宽×高：≥ 9000×2400×2500mm；室内净高：≥2000mm，允许最大承载量≥10000kg；</w:t>
            </w:r>
          </w:p>
          <w:p>
            <w:pPr>
              <w:pStyle w:val="null5"/>
              <w:jc w:val="both"/>
            </w:pPr>
            <w:r>
              <w:rPr>
                <w:rFonts w:ascii="仿宋_GB2312" w:hAnsi="仿宋_GB2312" w:cs="仿宋_GB2312" w:eastAsia="仿宋_GB2312"/>
                <w:sz w:val="21"/>
                <w:color w:val="222222"/>
              </w:rPr>
              <w:t>14.1.2内饰材料：模块厢体底部采用防滑花纹板装饰，侧面和顶板采用装饰扣板装饰；</w:t>
            </w:r>
          </w:p>
          <w:p>
            <w:pPr>
              <w:pStyle w:val="null5"/>
              <w:jc w:val="both"/>
            </w:pPr>
            <w:r>
              <w:rPr>
                <w:rFonts w:ascii="仿宋_GB2312" w:hAnsi="仿宋_GB2312" w:cs="仿宋_GB2312" w:eastAsia="仿宋_GB2312"/>
                <w:sz w:val="21"/>
                <w:color w:val="222222"/>
              </w:rPr>
              <w:t>14.1.3防水防尘：模块厢体设计采用密封结构，模块舱门设计止口安装密封条，保证模块整体防水防尘性能；</w:t>
            </w:r>
          </w:p>
          <w:p>
            <w:pPr>
              <w:pStyle w:val="null5"/>
              <w:jc w:val="both"/>
            </w:pPr>
            <w:r>
              <w:rPr>
                <w:rFonts w:ascii="仿宋_GB2312" w:hAnsi="仿宋_GB2312" w:cs="仿宋_GB2312" w:eastAsia="仿宋_GB2312"/>
                <w:sz w:val="21"/>
                <w:color w:val="222222"/>
              </w:rPr>
              <w:t>14.1.4模块运输：除使用专用载车平台运输转运外，可借助民用集装箱运输车进行运输舱体，适合民用平板车运输；</w:t>
            </w:r>
          </w:p>
          <w:p>
            <w:pPr>
              <w:pStyle w:val="null5"/>
              <w:jc w:val="both"/>
            </w:pPr>
            <w:r>
              <w:rPr>
                <w:rFonts w:ascii="仿宋_GB2312" w:hAnsi="仿宋_GB2312" w:cs="仿宋_GB2312" w:eastAsia="仿宋_GB2312"/>
                <w:sz w:val="21"/>
                <w:color w:val="222222"/>
              </w:rPr>
              <w:t>▲14.1.5模块舱门：上下开启翼展结构，具备锁止与密封结构，开启角度≥90°；</w:t>
            </w:r>
          </w:p>
          <w:p>
            <w:pPr>
              <w:pStyle w:val="null5"/>
              <w:jc w:val="both"/>
            </w:pPr>
            <w:r>
              <w:rPr>
                <w:rFonts w:ascii="仿宋_GB2312" w:hAnsi="仿宋_GB2312" w:cs="仿宋_GB2312" w:eastAsia="仿宋_GB2312"/>
                <w:sz w:val="21"/>
                <w:color w:val="222222"/>
              </w:rPr>
              <w:t>▲14.1.6模块上下车形式：模块箱四角设置液压支撑，采用液压支撑伸缩使整个箱体升降形式，升起后进行托运底盘装卸，收起后四角设置的液压支撑隐藏于模块箱内。提供详细的自动上下车装车方案三维示意效果图。</w:t>
            </w:r>
          </w:p>
          <w:p>
            <w:pPr>
              <w:pStyle w:val="null5"/>
              <w:jc w:val="both"/>
            </w:pPr>
            <w:r>
              <w:rPr>
                <w:rFonts w:ascii="仿宋_GB2312" w:hAnsi="仿宋_GB2312" w:cs="仿宋_GB2312" w:eastAsia="仿宋_GB2312"/>
                <w:sz w:val="21"/>
                <w:color w:val="222222"/>
              </w:rPr>
              <w:t>14.2功能要求</w:t>
            </w:r>
          </w:p>
          <w:p>
            <w:pPr>
              <w:pStyle w:val="null5"/>
              <w:jc w:val="both"/>
            </w:pPr>
            <w:r>
              <w:rPr>
                <w:rFonts w:ascii="仿宋_GB2312" w:hAnsi="仿宋_GB2312" w:cs="仿宋_GB2312" w:eastAsia="仿宋_GB2312"/>
                <w:sz w:val="21"/>
                <w:color w:val="222222"/>
              </w:rPr>
              <w:t>14.2.1设置炊事设施。包括蒸柜、热水器、双联灶、洗菜池、水净化系统、增压水泵、油烟机、料理台，满足蒸饭、炖菜、炒菜、料理食材等不同需求；</w:t>
            </w:r>
          </w:p>
          <w:p>
            <w:pPr>
              <w:pStyle w:val="null5"/>
              <w:jc w:val="both"/>
            </w:pPr>
            <w:r>
              <w:rPr>
                <w:rFonts w:ascii="仿宋_GB2312" w:hAnsi="仿宋_GB2312" w:cs="仿宋_GB2312" w:eastAsia="仿宋_GB2312"/>
                <w:sz w:val="21"/>
                <w:color w:val="222222"/>
              </w:rPr>
              <w:t>14.2.2厢内设2套紫外线消毒灯，可轮换间隙车内无人时为厢内部杀菌消毒；</w:t>
            </w:r>
          </w:p>
          <w:p>
            <w:pPr>
              <w:pStyle w:val="null5"/>
              <w:jc w:val="both"/>
            </w:pPr>
            <w:r>
              <w:rPr>
                <w:rFonts w:ascii="仿宋_GB2312" w:hAnsi="仿宋_GB2312" w:cs="仿宋_GB2312" w:eastAsia="仿宋_GB2312"/>
                <w:sz w:val="21"/>
                <w:color w:val="222222"/>
              </w:rPr>
              <w:t>14.2.3箱内设置1个50L油箱，用于灶具供油；</w:t>
            </w:r>
          </w:p>
          <w:p>
            <w:pPr>
              <w:pStyle w:val="null5"/>
              <w:jc w:val="both"/>
            </w:pPr>
            <w:r>
              <w:rPr>
                <w:rFonts w:ascii="仿宋_GB2312" w:hAnsi="仿宋_GB2312" w:cs="仿宋_GB2312" w:eastAsia="仿宋_GB2312"/>
                <w:sz w:val="21"/>
                <w:color w:val="222222"/>
              </w:rPr>
              <w:t>14.2.4净水箱：容积≥900L，采用不低于304不锈钢，底部设置排污口，设置液位显示计。水箱设置保温设施，在-30℃环境下水箱及水路不结冰可正常使用，投标时提供第三方带有CMA或CNAS标识的检测报告；</w:t>
            </w:r>
          </w:p>
          <w:p>
            <w:pPr>
              <w:pStyle w:val="null5"/>
              <w:jc w:val="both"/>
            </w:pPr>
            <w:r>
              <w:rPr>
                <w:rFonts w:ascii="仿宋_GB2312" w:hAnsi="仿宋_GB2312" w:cs="仿宋_GB2312" w:eastAsia="仿宋_GB2312"/>
                <w:sz w:val="21"/>
                <w:color w:val="222222"/>
              </w:rPr>
              <w:t>▲14.2.5净水器：净水能力≥1000L/h，净水达到饮用级别；</w:t>
            </w:r>
          </w:p>
          <w:p>
            <w:pPr>
              <w:pStyle w:val="null5"/>
              <w:jc w:val="both"/>
            </w:pPr>
            <w:r>
              <w:rPr>
                <w:rFonts w:ascii="仿宋_GB2312" w:hAnsi="仿宋_GB2312" w:cs="仿宋_GB2312" w:eastAsia="仿宋_GB2312"/>
                <w:sz w:val="21"/>
                <w:color w:val="222222"/>
              </w:rPr>
              <w:t>14.2.6蒸柜：≥16个托盘，柴油热源；</w:t>
            </w:r>
          </w:p>
          <w:p>
            <w:pPr>
              <w:pStyle w:val="null5"/>
              <w:jc w:val="both"/>
            </w:pPr>
            <w:r>
              <w:rPr>
                <w:rFonts w:ascii="仿宋_GB2312" w:hAnsi="仿宋_GB2312" w:cs="仿宋_GB2312" w:eastAsia="仿宋_GB2312"/>
                <w:sz w:val="21"/>
                <w:color w:val="222222"/>
              </w:rPr>
              <w:t>14.2.7热水器：容量≥10L；</w:t>
            </w:r>
          </w:p>
          <w:p>
            <w:pPr>
              <w:pStyle w:val="null5"/>
              <w:jc w:val="both"/>
            </w:pPr>
            <w:r>
              <w:rPr>
                <w:rFonts w:ascii="仿宋_GB2312" w:hAnsi="仿宋_GB2312" w:cs="仿宋_GB2312" w:eastAsia="仿宋_GB2312"/>
                <w:sz w:val="21"/>
                <w:color w:val="222222"/>
              </w:rPr>
              <w:t>14.2.8双联灶：材料不低于304不锈钢，一炒一炖，火力可调；</w:t>
            </w:r>
          </w:p>
          <w:p>
            <w:pPr>
              <w:pStyle w:val="null5"/>
              <w:jc w:val="both"/>
            </w:pPr>
            <w:r>
              <w:rPr>
                <w:rFonts w:ascii="仿宋_GB2312" w:hAnsi="仿宋_GB2312" w:cs="仿宋_GB2312" w:eastAsia="仿宋_GB2312"/>
                <w:sz w:val="21"/>
                <w:color w:val="222222"/>
              </w:rPr>
              <w:t>14.2.9洗菜池：材质不低于304不锈钢；</w:t>
            </w:r>
          </w:p>
          <w:p>
            <w:pPr>
              <w:pStyle w:val="null5"/>
              <w:jc w:val="both"/>
            </w:pPr>
            <w:r>
              <w:rPr>
                <w:rFonts w:ascii="仿宋_GB2312" w:hAnsi="仿宋_GB2312" w:cs="仿宋_GB2312" w:eastAsia="仿宋_GB2312"/>
                <w:sz w:val="21"/>
                <w:color w:val="222222"/>
              </w:rPr>
              <w:t>14.2.10抽油烟机：排风量≥3000m³/h3.电器系统。</w:t>
            </w:r>
          </w:p>
          <w:p>
            <w:pPr>
              <w:pStyle w:val="null5"/>
              <w:jc w:val="both"/>
            </w:pPr>
            <w:r>
              <w:rPr>
                <w:rFonts w:ascii="仿宋_GB2312" w:hAnsi="仿宋_GB2312" w:cs="仿宋_GB2312" w:eastAsia="仿宋_GB2312"/>
                <w:sz w:val="21"/>
                <w:color w:val="222222"/>
              </w:rPr>
              <w:t>14.3市电输入</w:t>
            </w:r>
          </w:p>
          <w:p>
            <w:pPr>
              <w:pStyle w:val="null5"/>
              <w:jc w:val="both"/>
            </w:pPr>
            <w:r>
              <w:rPr>
                <w:rFonts w:ascii="仿宋_GB2312" w:hAnsi="仿宋_GB2312" w:cs="仿宋_GB2312" w:eastAsia="仿宋_GB2312"/>
                <w:sz w:val="21"/>
                <w:color w:val="222222"/>
              </w:rPr>
              <w:t>14.3.1配置市电、外接电源等多种供电方式(接口和线路所承载供电能力大于所有用电设备功率总和，计算通过的电流安培数)国标制式插座等配置，</w:t>
            </w:r>
          </w:p>
          <w:p>
            <w:pPr>
              <w:pStyle w:val="null5"/>
              <w:jc w:val="both"/>
            </w:pPr>
            <w:r>
              <w:rPr>
                <w:rFonts w:ascii="仿宋_GB2312" w:hAnsi="仿宋_GB2312" w:cs="仿宋_GB2312" w:eastAsia="仿宋_GB2312"/>
                <w:sz w:val="21"/>
                <w:color w:val="222222"/>
              </w:rPr>
              <w:t>14.3.2接地防雷：配置接地功能和防雷措施，安全用电措施，防止出现触电等危险状况；</w:t>
            </w:r>
          </w:p>
          <w:p>
            <w:pPr>
              <w:pStyle w:val="null5"/>
              <w:jc w:val="both"/>
            </w:pPr>
            <w:r>
              <w:rPr>
                <w:rFonts w:ascii="仿宋_GB2312" w:hAnsi="仿宋_GB2312" w:cs="仿宋_GB2312" w:eastAsia="仿宋_GB2312"/>
                <w:sz w:val="21"/>
                <w:color w:val="222222"/>
              </w:rPr>
              <w:t>14.3.3 市电输入：配置外接市电供电方式，国标制式插座等配置，配不低于 30 米 2×6 平方的线盘。</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技术指标响应程度</w:t>
            </w:r>
          </w:p>
        </w:tc>
        <w:tc>
          <w:tcPr>
            <w:tcW w:type="dxa" w:w="3115"/>
          </w:tcPr>
          <w:p>
            <w:pPr>
              <w:pStyle w:val="null5"/>
              <w:jc w:val="left"/>
            </w:pPr>
            <w:r>
              <w:rPr>
                <w:rFonts w:ascii="仿宋_GB2312" w:hAnsi="仿宋_GB2312" w:cs="仿宋_GB2312" w:eastAsia="仿宋_GB2312"/>
              </w:rPr>
              <w:t>各项参数全部满足采购文件要求得47分； 1.技术要求中，带“★”号标记条款为核心技术项，正偏离不加分，如不满足其投标(响应)予以拒绝；2. 技术要求中，带“▲”号标记条款为重要指标，每有一项指标不满足扣1分；3.未标记条款为一般指标，有一项指标不满足扣0.55分；扣完为止； 注：标记“★”和“▲”技术指标项投标人须按招标文件要求提供佐证材料，“★”未提供或不满足招标文件要求的佐证材料视为无效响应，“▲”未提供或不满足招标文件要求的佐证材料视为负偏离。</w:t>
            </w:r>
          </w:p>
        </w:tc>
        <w:tc>
          <w:tcPr>
            <w:tcW w:type="dxa" w:w="1038"/>
          </w:tcPr>
          <w:p>
            <w:pPr>
              <w:pStyle w:val="null5"/>
              <w:jc w:val="right"/>
            </w:pPr>
            <w:r>
              <w:rPr>
                <w:rFonts w:ascii="仿宋_GB2312" w:hAnsi="仿宋_GB2312" w:cs="仿宋_GB2312" w:eastAsia="仿宋_GB2312"/>
              </w:rPr>
              <w:t>47.00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交付方案</w:t>
            </w:r>
          </w:p>
        </w:tc>
        <w:tc>
          <w:tcPr>
            <w:tcW w:type="dxa" w:w="3115"/>
          </w:tcPr>
          <w:p>
            <w:pPr>
              <w:pStyle w:val="null5"/>
              <w:jc w:val="left"/>
            </w:pPr>
            <w:r>
              <w:rPr>
                <w:rFonts w:ascii="仿宋_GB2312" w:hAnsi="仿宋_GB2312" w:cs="仿宋_GB2312" w:eastAsia="仿宋_GB2312"/>
              </w:rPr>
              <w:t>交付方案①供货进度安排计划②供货保障措施③验收方案，每一项合理可行、内容清晰的最高得1分， 本项最高得3分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产品主要部件的质量</w:t>
            </w:r>
          </w:p>
        </w:tc>
        <w:tc>
          <w:tcPr>
            <w:tcW w:type="dxa" w:w="3115"/>
          </w:tcPr>
          <w:p>
            <w:pPr>
              <w:pStyle w:val="null5"/>
              <w:jc w:val="left"/>
            </w:pPr>
            <w:r>
              <w:rPr>
                <w:rFonts w:ascii="仿宋_GB2312" w:hAnsi="仿宋_GB2312" w:cs="仿宋_GB2312" w:eastAsia="仿宋_GB2312"/>
              </w:rPr>
              <w:t>1、针对产品整体的质量状况，含备品备件、耗材、部件配置，有详细的介绍和说明的最高得1分 2、产品使用过程中的先进性、稳定性、操作性、安全性及环保性，内容清晰、全面合理的最高得1分。 根据产品鉴定证书、使用保养说明书、彩页等进行评价</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质量保证措施①质量保障流程图②质量管理体系及承诺，每项内容全面合理的最高得0.5分，本项最高得1分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①培训内容、时间安排全面、合理最高得1分 ②即时技术支持和技术指导内容完善、合理的最高得1分</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供应商近年来（2022年1月1日至投标截止时间）有同类或类似项目业绩的，有一项得3分，最多得12分。 （提供合同或中标通知书扫描件）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①保修期内及保修期外售后服务方案 ②售后服务响应时间 ③售后服务工作安排 ④维修或维护服务收费标准 ⑤售后服务措施 ⑥售后服务组织 每一项内容完善、合理的最高得0.5分，本项最高得3分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