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别力古台镇环卫清扫清运保洁一体化项目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阿巴嘎旗城市管理综合行政执法局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石家庄德盛招标有限公司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152522-DSXMCG-CS-20250001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石家庄德盛招标有限公司</w:t>
      </w:r>
      <w:r>
        <w:rPr>
          <w:rFonts w:ascii="仿宋_GB2312" w:hAnsi="仿宋_GB2312" w:cs="仿宋_GB2312" w:eastAsia="仿宋_GB2312"/>
        </w:rPr>
        <w:t xml:space="preserve"> 受 </w:t>
      </w:r>
      <w:r>
        <w:rPr>
          <w:rFonts w:ascii="仿宋_GB2312" w:hAnsi="仿宋_GB2312" w:cs="仿宋_GB2312" w:eastAsia="仿宋_GB2312"/>
        </w:rPr>
        <w:t>阿巴嘎旗城市管理综合行政执法局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别力古台镇环卫清扫清运保洁一体化项目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别力古台镇环卫清扫清运保洁一体化项目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152522-DSXMCG-CS-20250001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2,988,600.00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别力古台镇环境卫生清扫清运保洁一体化项目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2,988,600.00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石家庄德盛招标有限公司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内蒙古锡林浩特市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卢女士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13245199898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阿巴嘎旗城市管理综合行政执法局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阿巴嘎旗别力古台镇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乔惠彬</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 xml:space="preserve"> 13674799293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代理服务费收费标准：协商决定</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阿巴嘎旗城市管理综合行政执法局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石家庄德盛招标有限公司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项目费用包含以下内容 1、人员工资 包含人员基本工资、社保、福利等一切相关费用 2、车辆运行、维修、检测费 包含车辆运行所耗燃油、保险、维修、检测等一切相关费用 3、设备维修维护费用包含生活垃圾填埋场、热解站、分拣中心、餐厨垃圾处理站等场区、公厕、垃圾箱等相关设备维修 4、管理费 包含办公用品、广告标识牌制作、工具、劳保、燃煤、消杀用品、审计费、技术服务费（自行检测、方案制作等）等相关费用 5、水费包括办公区、水冲公厕（10座）、生活垃圾填埋场、热解站、分拣中心、餐厨垃圾处理站等 6、电费包括热解站、分拣中心、餐厨垃圾处理站等 备注：以上费用包含如下工作（一）含道路及硬化面清扫保洁、（二）生活垃圾、餐厨垃圾收集转运、（三）水冲公厕运行管理、（四）生活垃圾卫生填埋、（五）生活垃圾智慧化分拣、（六）餐厨垃圾处理、（七）垃圾收集容器维护维修、（八）秋季落叶收集清扫、（九）重大活动及迎检卫生保障、（十）其他临时性工作任务。具体工作内容详见附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合同签订后一年期</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阿巴嘎旗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1、按月支付，达到付款条件起10日，支付合同总金额的8.00%</w:t>
            </w:r>
          </w:p>
          <w:p>
            <w:pPr>
              <w:pStyle w:val="null5"/>
              <w:jc w:val="left"/>
            </w:pPr>
            <w:r>
              <w:rPr>
                <w:rFonts w:ascii="仿宋_GB2312" w:hAnsi="仿宋_GB2312" w:cs="仿宋_GB2312" w:eastAsia="仿宋_GB2312"/>
              </w:rPr>
              <w:t>2、按月支付，达到付款条件起10日，支付合同总金额的8.00%</w:t>
            </w:r>
          </w:p>
          <w:p>
            <w:pPr>
              <w:pStyle w:val="null5"/>
              <w:jc w:val="left"/>
            </w:pPr>
            <w:r>
              <w:rPr>
                <w:rFonts w:ascii="仿宋_GB2312" w:hAnsi="仿宋_GB2312" w:cs="仿宋_GB2312" w:eastAsia="仿宋_GB2312"/>
              </w:rPr>
              <w:t>3、按月支付，达到付款条件起10日，支付合同总金额的8.00%</w:t>
            </w:r>
          </w:p>
          <w:p>
            <w:pPr>
              <w:pStyle w:val="null5"/>
              <w:jc w:val="left"/>
            </w:pPr>
            <w:r>
              <w:rPr>
                <w:rFonts w:ascii="仿宋_GB2312" w:hAnsi="仿宋_GB2312" w:cs="仿宋_GB2312" w:eastAsia="仿宋_GB2312"/>
              </w:rPr>
              <w:t>4、按月支付，达到付款条件起10日，支付合同总金额的8.00%</w:t>
            </w:r>
          </w:p>
          <w:p>
            <w:pPr>
              <w:pStyle w:val="null5"/>
              <w:jc w:val="left"/>
            </w:pPr>
            <w:r>
              <w:rPr>
                <w:rFonts w:ascii="仿宋_GB2312" w:hAnsi="仿宋_GB2312" w:cs="仿宋_GB2312" w:eastAsia="仿宋_GB2312"/>
              </w:rPr>
              <w:t>5、按月支付，达到付款条件起10日，支付合同总金额的8.00%</w:t>
            </w:r>
          </w:p>
          <w:p>
            <w:pPr>
              <w:pStyle w:val="null5"/>
              <w:jc w:val="left"/>
            </w:pPr>
            <w:r>
              <w:rPr>
                <w:rFonts w:ascii="仿宋_GB2312" w:hAnsi="仿宋_GB2312" w:cs="仿宋_GB2312" w:eastAsia="仿宋_GB2312"/>
              </w:rPr>
              <w:t>6、按月支付，达到付款条件起10日，支付合同总金额的8.00%</w:t>
            </w:r>
          </w:p>
          <w:p>
            <w:pPr>
              <w:pStyle w:val="null5"/>
              <w:jc w:val="left"/>
            </w:pPr>
            <w:r>
              <w:rPr>
                <w:rFonts w:ascii="仿宋_GB2312" w:hAnsi="仿宋_GB2312" w:cs="仿宋_GB2312" w:eastAsia="仿宋_GB2312"/>
              </w:rPr>
              <w:t>7、按月支付，达到付款条件起10日，支付合同总金额的8.00%</w:t>
            </w:r>
          </w:p>
          <w:p>
            <w:pPr>
              <w:pStyle w:val="null5"/>
              <w:jc w:val="left"/>
            </w:pPr>
            <w:r>
              <w:rPr>
                <w:rFonts w:ascii="仿宋_GB2312" w:hAnsi="仿宋_GB2312" w:cs="仿宋_GB2312" w:eastAsia="仿宋_GB2312"/>
              </w:rPr>
              <w:t>8、按月支付，达到付款条件起10日，支付合同总金额的8.00%</w:t>
            </w:r>
          </w:p>
          <w:p>
            <w:pPr>
              <w:pStyle w:val="null5"/>
              <w:jc w:val="left"/>
            </w:pPr>
            <w:r>
              <w:rPr>
                <w:rFonts w:ascii="仿宋_GB2312" w:hAnsi="仿宋_GB2312" w:cs="仿宋_GB2312" w:eastAsia="仿宋_GB2312"/>
              </w:rPr>
              <w:t>9、按月支付，达到付款条件起10日，支付合同总金额的8.00%</w:t>
            </w:r>
          </w:p>
          <w:p>
            <w:pPr>
              <w:pStyle w:val="null5"/>
              <w:jc w:val="left"/>
            </w:pPr>
            <w:r>
              <w:rPr>
                <w:rFonts w:ascii="仿宋_GB2312" w:hAnsi="仿宋_GB2312" w:cs="仿宋_GB2312" w:eastAsia="仿宋_GB2312"/>
              </w:rPr>
              <w:t>10、按月支付，达到付款条件起10日，支付合同总金额的8.00%</w:t>
            </w:r>
          </w:p>
          <w:p>
            <w:pPr>
              <w:pStyle w:val="null5"/>
              <w:jc w:val="left"/>
            </w:pPr>
            <w:r>
              <w:rPr>
                <w:rFonts w:ascii="仿宋_GB2312" w:hAnsi="仿宋_GB2312" w:cs="仿宋_GB2312" w:eastAsia="仿宋_GB2312"/>
              </w:rPr>
              <w:t>11、按月支付，达到付款条件起10日，支付合同总金额的10.00%</w:t>
            </w:r>
          </w:p>
          <w:p>
            <w:pPr>
              <w:pStyle w:val="null5"/>
              <w:jc w:val="left"/>
            </w:pPr>
            <w:r>
              <w:rPr>
                <w:rFonts w:ascii="仿宋_GB2312" w:hAnsi="仿宋_GB2312" w:cs="仿宋_GB2312" w:eastAsia="仿宋_GB2312"/>
              </w:rPr>
              <w:t>12、按月支付，达到付款条件起10日，支付合同总金额的10.00%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标的名称：别力古台镇环境卫生清扫清运保洁一体化项目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rPr>
              <w:t>（一）道路清扫保洁</w:t>
            </w:r>
            <w:r>
              <w:rPr>
                <w:rFonts w:ascii="仿宋_GB2312" w:hAnsi="仿宋_GB2312" w:cs="仿宋_GB2312" w:eastAsia="仿宋_GB2312"/>
                <w:sz w:val="24"/>
              </w:rPr>
              <w:t>包括</w:t>
            </w:r>
            <w:r>
              <w:rPr>
                <w:rFonts w:ascii="仿宋_GB2312" w:hAnsi="仿宋_GB2312" w:cs="仿宋_GB2312" w:eastAsia="仿宋_GB2312"/>
                <w:sz w:val="24"/>
              </w:rPr>
              <w:t>管辖范围内</w:t>
            </w:r>
            <w:r>
              <w:rPr>
                <w:rFonts w:ascii="仿宋_GB2312" w:hAnsi="仿宋_GB2312" w:cs="仿宋_GB2312" w:eastAsia="仿宋_GB2312"/>
                <w:sz w:val="24"/>
              </w:rPr>
              <w:t>约</w:t>
            </w:r>
            <w:r>
              <w:rPr>
                <w:rFonts w:ascii="仿宋_GB2312" w:hAnsi="仿宋_GB2312" w:cs="仿宋_GB2312" w:eastAsia="仿宋_GB2312"/>
                <w:sz w:val="24"/>
              </w:rPr>
              <w:t>的</w:t>
            </w:r>
            <w:r>
              <w:rPr>
                <w:rFonts w:ascii="仿宋_GB2312" w:hAnsi="仿宋_GB2312" w:cs="仿宋_GB2312" w:eastAsia="仿宋_GB2312"/>
                <w:sz w:val="24"/>
              </w:rPr>
              <w:t>43.5</w:t>
            </w:r>
            <w:r>
              <w:rPr>
                <w:rFonts w:ascii="仿宋_GB2312" w:hAnsi="仿宋_GB2312" w:cs="仿宋_GB2312" w:eastAsia="仿宋_GB2312"/>
                <w:sz w:val="24"/>
              </w:rPr>
              <w:t>万平方米市政道路路面、</w:t>
            </w:r>
            <w:r>
              <w:rPr>
                <w:rFonts w:ascii="仿宋_GB2312" w:hAnsi="仿宋_GB2312" w:cs="仿宋_GB2312" w:eastAsia="仿宋_GB2312"/>
                <w:sz w:val="24"/>
              </w:rPr>
              <w:t>约</w:t>
            </w:r>
            <w:r>
              <w:rPr>
                <w:rFonts w:ascii="仿宋_GB2312" w:hAnsi="仿宋_GB2312" w:cs="仿宋_GB2312" w:eastAsia="仿宋_GB2312"/>
                <w:sz w:val="24"/>
              </w:rPr>
              <w:t>50.6</w:t>
            </w:r>
            <w:r>
              <w:rPr>
                <w:rFonts w:ascii="仿宋_GB2312" w:hAnsi="仿宋_GB2312" w:cs="仿宋_GB2312" w:eastAsia="仿宋_GB2312"/>
                <w:sz w:val="24"/>
              </w:rPr>
              <w:t>万平方米硬化面、绿化带、树穴等进行机械清扫、冲洗和人工清扫、保洁。</w:t>
            </w:r>
          </w:p>
          <w:p>
            <w:pPr>
              <w:pStyle w:val="null5"/>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人工清扫保洁</w:t>
            </w:r>
            <w:r>
              <w:rPr>
                <w:rFonts w:ascii="仿宋_GB2312" w:hAnsi="仿宋_GB2312" w:cs="仿宋_GB2312" w:eastAsia="仿宋_GB2312"/>
                <w:sz w:val="24"/>
              </w:rPr>
              <w:t>：</w:t>
            </w:r>
            <w:r>
              <w:rPr>
                <w:rFonts w:ascii="仿宋_GB2312" w:hAnsi="仿宋_GB2312" w:cs="仿宋_GB2312" w:eastAsia="仿宋_GB2312"/>
                <w:sz w:val="24"/>
              </w:rPr>
              <w:t>作业人员配置工作服、手套、头盔等防护装备，扫帚、簸箕、铁锹、三轮车等保洁工具。每日按照规定的清扫路线，对人行道、非机动车道、机动车道等全面清扫，将路面的垃圾、杂物等清扫至路边。把清扫、收集起来的垃圾装入垃圾收集容器（如垃圾箱、果皮箱等）。待果皮箱快满时，将垃圾转运至规定的垃圾存放点，确保垃圾日产日清。</w:t>
            </w:r>
          </w:p>
          <w:p>
            <w:pPr>
              <w:pStyle w:val="null5"/>
              <w:ind w:firstLine="480"/>
              <w:jc w:val="left"/>
            </w:pPr>
            <w:r>
              <w:rPr>
                <w:rFonts w:ascii="仿宋_GB2312" w:hAnsi="仿宋_GB2312" w:cs="仿宋_GB2312" w:eastAsia="仿宋_GB2312"/>
                <w:sz w:val="24"/>
              </w:rPr>
              <w:t>普扫完成后，在责任路段不间断巡回，及时清理新产生的垃圾，如丢弃的纸屑、烟头、包装袋等。</w:t>
            </w:r>
            <w:r>
              <w:rPr>
                <w:rFonts w:ascii="仿宋_GB2312" w:hAnsi="仿宋_GB2312" w:cs="仿宋_GB2312" w:eastAsia="仿宋_GB2312"/>
                <w:sz w:val="24"/>
              </w:rPr>
              <w:t>下班前再次检查责任路段，确认无遗漏垃圾、杂物等。清洁、整理好清扫保洁工具，放置在规定存放处，结束当日工作。</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机械清扫、冲洗</w:t>
            </w:r>
            <w:r>
              <w:rPr>
                <w:rFonts w:ascii="仿宋_GB2312" w:hAnsi="仿宋_GB2312" w:cs="仿宋_GB2312" w:eastAsia="仿宋_GB2312"/>
                <w:sz w:val="24"/>
              </w:rPr>
              <w:t>：</w:t>
            </w:r>
            <w:r>
              <w:rPr>
                <w:rFonts w:ascii="仿宋_GB2312" w:hAnsi="仿宋_GB2312" w:cs="仿宋_GB2312" w:eastAsia="仿宋_GB2312"/>
                <w:sz w:val="24"/>
              </w:rPr>
              <w:t>将城镇道路划分为主干道、次干道、支路等不同等级，依据各等级道路的车流量、人流量、垃圾产生量特点，安排相应频次的扫地车作业。一般在清晨交通流量较小的时候（如</w:t>
            </w:r>
            <w:r>
              <w:rPr>
                <w:rFonts w:ascii="仿宋_GB2312" w:hAnsi="仿宋_GB2312" w:cs="仿宋_GB2312" w:eastAsia="仿宋_GB2312"/>
                <w:sz w:val="24"/>
              </w:rPr>
              <w:t>6</w:t>
            </w:r>
            <w:r>
              <w:rPr>
                <w:rFonts w:ascii="仿宋_GB2312" w:hAnsi="仿宋_GB2312" w:cs="仿宋_GB2312" w:eastAsia="仿宋_GB2312"/>
                <w:sz w:val="24"/>
              </w:rPr>
              <w:t>点</w:t>
            </w:r>
            <w:r>
              <w:rPr>
                <w:rFonts w:ascii="仿宋_GB2312" w:hAnsi="仿宋_GB2312" w:cs="仿宋_GB2312" w:eastAsia="仿宋_GB2312"/>
                <w:sz w:val="24"/>
              </w:rPr>
              <w:t>- 8</w:t>
            </w:r>
            <w:r>
              <w:rPr>
                <w:rFonts w:ascii="仿宋_GB2312" w:hAnsi="仿宋_GB2312" w:cs="仿宋_GB2312" w:eastAsia="仿宋_GB2312"/>
                <w:sz w:val="24"/>
              </w:rPr>
              <w:t>点）开展首次清扫，之后在上午、下午的非高峰时段（如</w:t>
            </w:r>
            <w:r>
              <w:rPr>
                <w:rFonts w:ascii="仿宋_GB2312" w:hAnsi="仿宋_GB2312" w:cs="仿宋_GB2312" w:eastAsia="仿宋_GB2312"/>
                <w:sz w:val="24"/>
              </w:rPr>
              <w:t>9</w:t>
            </w:r>
            <w:r>
              <w:rPr>
                <w:rFonts w:ascii="仿宋_GB2312" w:hAnsi="仿宋_GB2312" w:cs="仿宋_GB2312" w:eastAsia="仿宋_GB2312"/>
                <w:sz w:val="24"/>
              </w:rPr>
              <w:t>点</w:t>
            </w:r>
            <w:r>
              <w:rPr>
                <w:rFonts w:ascii="仿宋_GB2312" w:hAnsi="仿宋_GB2312" w:cs="仿宋_GB2312" w:eastAsia="仿宋_GB2312"/>
                <w:sz w:val="24"/>
              </w:rPr>
              <w:t>-11</w:t>
            </w:r>
            <w:r>
              <w:rPr>
                <w:rFonts w:ascii="仿宋_GB2312" w:hAnsi="仿宋_GB2312" w:cs="仿宋_GB2312" w:eastAsia="仿宋_GB2312"/>
                <w:sz w:val="24"/>
              </w:rPr>
              <w:t>点、</w:t>
            </w:r>
            <w:r>
              <w:rPr>
                <w:rFonts w:ascii="仿宋_GB2312" w:hAnsi="仿宋_GB2312" w:cs="仿宋_GB2312" w:eastAsia="仿宋_GB2312"/>
                <w:sz w:val="24"/>
              </w:rPr>
              <w:t>14</w:t>
            </w:r>
            <w:r>
              <w:rPr>
                <w:rFonts w:ascii="仿宋_GB2312" w:hAnsi="仿宋_GB2312" w:cs="仿宋_GB2312" w:eastAsia="仿宋_GB2312"/>
                <w:sz w:val="24"/>
              </w:rPr>
              <w:t>点</w:t>
            </w:r>
            <w:r>
              <w:rPr>
                <w:rFonts w:ascii="仿宋_GB2312" w:hAnsi="仿宋_GB2312" w:cs="仿宋_GB2312" w:eastAsia="仿宋_GB2312"/>
                <w:sz w:val="24"/>
              </w:rPr>
              <w:t>-16</w:t>
            </w:r>
            <w:r>
              <w:rPr>
                <w:rFonts w:ascii="仿宋_GB2312" w:hAnsi="仿宋_GB2312" w:cs="仿宋_GB2312" w:eastAsia="仿宋_GB2312"/>
                <w:sz w:val="24"/>
              </w:rPr>
              <w:t>点）进行补充清扫作业，确保路面持续干净。</w:t>
            </w:r>
          </w:p>
          <w:p>
            <w:pPr>
              <w:pStyle w:val="null5"/>
              <w:ind w:firstLine="480"/>
              <w:jc w:val="left"/>
            </w:pPr>
            <w:r>
              <w:rPr>
                <w:rFonts w:ascii="仿宋_GB2312" w:hAnsi="仿宋_GB2312" w:cs="仿宋_GB2312" w:eastAsia="仿宋_GB2312"/>
                <w:sz w:val="24"/>
              </w:rPr>
              <w:t>将城镇中的广场、商业街、夜市、饭店等人流量大、易脏污的区域列为重点，增加洗地车作业频次，确保地面时常保持干净整洁，提升城市形象。</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（二）生活垃圾、餐厨垃圾收集转运</w:t>
            </w:r>
            <w:r>
              <w:rPr>
                <w:rFonts w:ascii="仿宋_GB2312" w:hAnsi="仿宋_GB2312" w:cs="仿宋_GB2312" w:eastAsia="仿宋_GB2312"/>
                <w:sz w:val="24"/>
              </w:rPr>
              <w:t>：</w:t>
            </w:r>
            <w:r>
              <w:rPr>
                <w:rFonts w:ascii="仿宋_GB2312" w:hAnsi="仿宋_GB2312" w:cs="仿宋_GB2312" w:eastAsia="仿宋_GB2312"/>
                <w:sz w:val="24"/>
              </w:rPr>
              <w:t>收集生活垃圾范围为各企事业机关单位、小区和沿街投放的垃圾箱及垃圾桶、空地及平房区产生的临时垃圾点。餐厨垃圾来源为企事业机关单位食堂、学校食堂、医院食堂及镇内约</w:t>
            </w:r>
            <w:r>
              <w:rPr>
                <w:rFonts w:ascii="仿宋_GB2312" w:hAnsi="仿宋_GB2312" w:cs="仿宋_GB2312" w:eastAsia="仿宋_GB2312"/>
                <w:sz w:val="24"/>
              </w:rPr>
              <w:t>100</w:t>
            </w:r>
            <w:r>
              <w:rPr>
                <w:rFonts w:ascii="仿宋_GB2312" w:hAnsi="仿宋_GB2312" w:cs="仿宋_GB2312" w:eastAsia="仿宋_GB2312"/>
                <w:sz w:val="24"/>
              </w:rPr>
              <w:t>家餐饮店等。</w:t>
            </w:r>
          </w:p>
          <w:p>
            <w:pPr>
              <w:pStyle w:val="null5"/>
              <w:ind w:firstLine="480"/>
              <w:jc w:val="left"/>
            </w:pPr>
            <w:r>
              <w:rPr>
                <w:rFonts w:ascii="仿宋_GB2312" w:hAnsi="仿宋_GB2312" w:cs="仿宋_GB2312" w:eastAsia="仿宋_GB2312"/>
                <w:sz w:val="24"/>
              </w:rPr>
              <w:t>根据各点位的垃圾产生量合理安排人员及设备，按照规定的收集时间和频次，对各垃圾投放点的垃圾进行收集，确保垃圾无长时间堆积情况。在收集时，严格区分生活垃圾、餐厨垃圾及建筑垃圾，避免混装。车辆保持密闭状态，防止垃圾在运输途中外露、飘洒，避免产生异味、影响环境卫生。遵循规定的运输路线，避开交通拥堵路段，确保运输过程安全、高效。到达规定的垃圾处理场所后，准确将垃圾卸入相应区域，按照场所要求有序进行卸料操作，配合现场工作人员完成交接工作。</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（三）水冲公厕运行管理</w:t>
            </w:r>
            <w:r>
              <w:rPr>
                <w:rFonts w:ascii="仿宋_GB2312" w:hAnsi="仿宋_GB2312" w:cs="仿宋_GB2312" w:eastAsia="仿宋_GB2312"/>
                <w:sz w:val="24"/>
              </w:rPr>
              <w:t>：</w:t>
            </w:r>
            <w:r>
              <w:rPr>
                <w:rFonts w:ascii="仿宋_GB2312" w:hAnsi="仿宋_GB2312" w:cs="仿宋_GB2312" w:eastAsia="仿宋_GB2312"/>
                <w:sz w:val="24"/>
              </w:rPr>
              <w:t>负责</w:t>
            </w:r>
            <w:r>
              <w:rPr>
                <w:rFonts w:ascii="仿宋_GB2312" w:hAnsi="仿宋_GB2312" w:cs="仿宋_GB2312" w:eastAsia="仿宋_GB2312"/>
                <w:sz w:val="24"/>
              </w:rPr>
              <w:t>10</w:t>
            </w:r>
            <w:r>
              <w:rPr>
                <w:rFonts w:ascii="仿宋_GB2312" w:hAnsi="仿宋_GB2312" w:cs="仿宋_GB2312" w:eastAsia="仿宋_GB2312"/>
                <w:sz w:val="24"/>
              </w:rPr>
              <w:t>座在用水冲公厕运行管理工作，分别为黑马驿站水冲公厕、汉贝广场南侧水冲公厕、汉贝广场北侧水冲公厕、城投公司北侧水冲公厕、旧运输公司院内水冲公厕、蓝天洗浴东侧水冲公厕、哈日淖公园水冲公厕、华清池洗浴南侧水冲公厕、工会西侧水冲公厕、党校西侧水冲公厕。根据公司实际情况安排专人对每座水冲公厕进行管理。</w:t>
            </w:r>
          </w:p>
          <w:p>
            <w:pPr>
              <w:pStyle w:val="null5"/>
              <w:ind w:firstLine="480"/>
              <w:jc w:val="left"/>
            </w:pPr>
            <w:r>
              <w:rPr>
                <w:rFonts w:ascii="仿宋_GB2312" w:hAnsi="仿宋_GB2312" w:cs="仿宋_GB2312" w:eastAsia="仿宋_GB2312"/>
                <w:sz w:val="24"/>
              </w:rPr>
              <w:t>1.</w:t>
            </w:r>
            <w:r>
              <w:rPr>
                <w:rFonts w:ascii="仿宋_GB2312" w:hAnsi="仿宋_GB2312" w:cs="仿宋_GB2312" w:eastAsia="仿宋_GB2312"/>
                <w:sz w:val="24"/>
              </w:rPr>
              <w:t>清扫保洁</w:t>
            </w:r>
            <w:r>
              <w:rPr>
                <w:rFonts w:ascii="仿宋_GB2312" w:hAnsi="仿宋_GB2312" w:cs="仿宋_GB2312" w:eastAsia="仿宋_GB2312"/>
                <w:sz w:val="24"/>
              </w:rPr>
              <w:t>：</w:t>
            </w:r>
            <w:r>
              <w:rPr>
                <w:rFonts w:ascii="仿宋_GB2312" w:hAnsi="仿宋_GB2312" w:cs="仿宋_GB2312" w:eastAsia="仿宋_GB2312"/>
                <w:sz w:val="24"/>
              </w:rPr>
              <w:t>按照规定频次，每日早、中、晚等时段对公厕内部进行全面清扫，包括地面、蹲位、小便池、洗手台等各个区域，及时清理粪便、尿液、废纸等垃圾杂物。配备专用的扫帚、拖把、抹布等清洁工具，定期清洗和更换。</w:t>
            </w:r>
          </w:p>
          <w:p>
            <w:pPr>
              <w:pStyle w:val="null5"/>
              <w:ind w:firstLine="480"/>
              <w:jc w:val="left"/>
            </w:pPr>
            <w:r>
              <w:rPr>
                <w:rFonts w:ascii="仿宋_GB2312" w:hAnsi="仿宋_GB2312" w:cs="仿宋_GB2312" w:eastAsia="仿宋_GB2312"/>
                <w:sz w:val="24"/>
              </w:rPr>
              <w:t>每天至少进行一次全面消毒，重点对便器、门把手、水龙头等经常接触的部位，使用合适的消毒剂进行擦拭或喷洒消毒，杀灭病菌，保障卫生。</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2.</w:t>
            </w:r>
            <w:r>
              <w:rPr>
                <w:rFonts w:ascii="仿宋_GB2312" w:hAnsi="仿宋_GB2312" w:cs="仿宋_GB2312" w:eastAsia="仿宋_GB2312"/>
                <w:sz w:val="24"/>
              </w:rPr>
              <w:t>设施设备维护</w:t>
            </w:r>
            <w:r>
              <w:rPr>
                <w:rFonts w:ascii="仿宋_GB2312" w:hAnsi="仿宋_GB2312" w:cs="仿宋_GB2312" w:eastAsia="仿宋_GB2312"/>
                <w:sz w:val="24"/>
              </w:rPr>
              <w:t>：</w:t>
            </w:r>
            <w:r>
              <w:rPr>
                <w:rFonts w:ascii="仿宋_GB2312" w:hAnsi="仿宋_GB2312" w:cs="仿宋_GB2312" w:eastAsia="仿宋_GB2312"/>
                <w:sz w:val="24"/>
              </w:rPr>
              <w:t>定期查看冲水马桶、小便池的冲水装置是否正常，及时修复出现的堵塞、漏水等问题，确保冲水顺畅且能有效冲净污物，节约用水。保证公厕内照明灯具完好，亮度充足，方便居民使用；同时保持良好通风，减少异味。关注门把手、水龙头等设施是否能正常使用，对损坏的及时维修或更换，保障公厕使用功能的完整性。</w:t>
            </w:r>
          </w:p>
          <w:p>
            <w:pPr>
              <w:pStyle w:val="null5"/>
              <w:ind w:firstLine="480"/>
              <w:jc w:val="left"/>
            </w:pPr>
            <w:r>
              <w:rPr>
                <w:rFonts w:ascii="仿宋_GB2312" w:hAnsi="仿宋_GB2312" w:cs="仿宋_GB2312" w:eastAsia="仿宋_GB2312"/>
                <w:sz w:val="24"/>
              </w:rPr>
              <w:t>3.</w:t>
            </w:r>
            <w:r>
              <w:rPr>
                <w:rFonts w:ascii="仿宋_GB2312" w:hAnsi="仿宋_GB2312" w:cs="仿宋_GB2312" w:eastAsia="仿宋_GB2312"/>
                <w:sz w:val="24"/>
              </w:rPr>
              <w:t>环境卫生管理</w:t>
            </w:r>
            <w:r>
              <w:rPr>
                <w:rFonts w:ascii="仿宋_GB2312" w:hAnsi="仿宋_GB2312" w:cs="仿宋_GB2312" w:eastAsia="仿宋_GB2312"/>
                <w:sz w:val="24"/>
              </w:rPr>
              <w:t>：</w:t>
            </w:r>
            <w:r>
              <w:rPr>
                <w:rFonts w:ascii="仿宋_GB2312" w:hAnsi="仿宋_GB2312" w:cs="仿宋_GB2312" w:eastAsia="仿宋_GB2312"/>
                <w:sz w:val="24"/>
              </w:rPr>
              <w:t>除依靠通风设备外，可适当放置除臭剂、空气清新剂等，在公厕的角落、小便池等异味易产生处合理使用，保持空气清新，提升使用体验。</w:t>
            </w:r>
          </w:p>
          <w:p>
            <w:pPr>
              <w:pStyle w:val="null5"/>
              <w:ind w:firstLine="480"/>
              <w:jc w:val="left"/>
            </w:pPr>
            <w:r>
              <w:rPr>
                <w:rFonts w:ascii="仿宋_GB2312" w:hAnsi="仿宋_GB2312" w:cs="仿宋_GB2312" w:eastAsia="仿宋_GB2312"/>
                <w:sz w:val="24"/>
              </w:rPr>
              <w:t>4.</w:t>
            </w:r>
            <w:r>
              <w:rPr>
                <w:rFonts w:ascii="仿宋_GB2312" w:hAnsi="仿宋_GB2312" w:cs="仿宋_GB2312" w:eastAsia="仿宋_GB2312"/>
                <w:sz w:val="24"/>
              </w:rPr>
              <w:t>秩序管理</w:t>
            </w:r>
            <w:r>
              <w:rPr>
                <w:rFonts w:ascii="仿宋_GB2312" w:hAnsi="仿宋_GB2312" w:cs="仿宋_GB2312" w:eastAsia="仿宋_GB2312"/>
                <w:sz w:val="24"/>
              </w:rPr>
              <w:t>：</w:t>
            </w:r>
            <w:r>
              <w:rPr>
                <w:rFonts w:ascii="仿宋_GB2312" w:hAnsi="仿宋_GB2312" w:cs="仿宋_GB2312" w:eastAsia="仿宋_GB2312"/>
                <w:sz w:val="24"/>
              </w:rPr>
              <w:t>引导文明如厕，通过张贴温馨提示、宣传标语等方式，提醒居民文明使用公厕，如便后冲水、节约用水等，营造良好的如厕氛围。对于故意损坏公厕设施、不文明如厕等行为，及时进行制止和劝导，情节严重的可按相关规定进行处理。</w:t>
            </w:r>
          </w:p>
          <w:p>
            <w:pPr>
              <w:pStyle w:val="null5"/>
              <w:ind w:firstLine="480"/>
              <w:jc w:val="left"/>
            </w:pPr>
            <w:r>
              <w:rPr>
                <w:rFonts w:ascii="仿宋_GB2312" w:hAnsi="仿宋_GB2312" w:cs="仿宋_GB2312" w:eastAsia="仿宋_GB2312"/>
                <w:sz w:val="24"/>
              </w:rPr>
              <w:t>（四）生活垃圾卫生填埋</w:t>
            </w:r>
            <w:r>
              <w:rPr>
                <w:rFonts w:ascii="仿宋_GB2312" w:hAnsi="仿宋_GB2312" w:cs="仿宋_GB2312" w:eastAsia="仿宋_GB2312"/>
                <w:sz w:val="24"/>
              </w:rPr>
              <w:t>：</w:t>
            </w:r>
            <w:r>
              <w:rPr>
                <w:rFonts w:ascii="仿宋_GB2312" w:hAnsi="仿宋_GB2312" w:cs="仿宋_GB2312" w:eastAsia="仿宋_GB2312"/>
                <w:sz w:val="24"/>
              </w:rPr>
              <w:t>需负责该场运行管理工作，生活垃圾运输车辆到达填埋场后，先进行垃圾成分、性质等方面的检查，符合填埋要求的进行称重计量，记录入场垃圾量。按照填埋作业规划，引导车辆在规定卸料区域卸料，确保垃圾均匀分布在填埋作业面上。使用推土机等机械设备将卸料后的垃圾推平，使垃圾厚度均匀，后将垃圾覆盖土层并压实平整。</w:t>
            </w:r>
          </w:p>
          <w:p>
            <w:pPr>
              <w:pStyle w:val="null5"/>
              <w:ind w:firstLine="480"/>
              <w:jc w:val="left"/>
            </w:pPr>
            <w:r>
              <w:rPr>
                <w:rFonts w:ascii="仿宋_GB2312" w:hAnsi="仿宋_GB2312" w:cs="仿宋_GB2312" w:eastAsia="仿宋_GB2312"/>
                <w:sz w:val="24"/>
              </w:rPr>
              <w:t>通过填埋场内的渗滤液收集系统，将垃圾渗出的液体收集到集水池等储存设施中。通过渗滤液处理设施处理，对渗滤液进行达标处理，使其符合相应的排放标准。</w:t>
            </w:r>
          </w:p>
          <w:p>
            <w:pPr>
              <w:pStyle w:val="null5"/>
              <w:ind w:firstLine="480"/>
              <w:jc w:val="left"/>
            </w:pPr>
            <w:r>
              <w:rPr>
                <w:rFonts w:ascii="仿宋_GB2312" w:hAnsi="仿宋_GB2312" w:cs="仿宋_GB2312" w:eastAsia="仿宋_GB2312"/>
                <w:sz w:val="24"/>
              </w:rPr>
              <w:t>按照生态环境部《国家重点监控企业自行监测及信息公开办法（试行）》（环发〔</w:t>
            </w:r>
            <w:r>
              <w:rPr>
                <w:rFonts w:ascii="仿宋_GB2312" w:hAnsi="仿宋_GB2312" w:cs="仿宋_GB2312" w:eastAsia="仿宋_GB2312"/>
                <w:sz w:val="24"/>
              </w:rPr>
              <w:t>2013</w:t>
            </w:r>
            <w:r>
              <w:rPr>
                <w:rFonts w:ascii="仿宋_GB2312" w:hAnsi="仿宋_GB2312" w:cs="仿宋_GB2312" w:eastAsia="仿宋_GB2312"/>
                <w:sz w:val="24"/>
              </w:rPr>
              <w:t>〕</w:t>
            </w:r>
            <w:r>
              <w:rPr>
                <w:rFonts w:ascii="仿宋_GB2312" w:hAnsi="仿宋_GB2312" w:cs="仿宋_GB2312" w:eastAsia="仿宋_GB2312"/>
                <w:sz w:val="24"/>
              </w:rPr>
              <w:t>81</w:t>
            </w:r>
            <w:r>
              <w:rPr>
                <w:rFonts w:ascii="仿宋_GB2312" w:hAnsi="仿宋_GB2312" w:cs="仿宋_GB2312" w:eastAsia="仿宋_GB2312"/>
                <w:sz w:val="24"/>
              </w:rPr>
              <w:t>号）要求，每月对所排放的污染物组织开展自行监测。</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（五）生活垃圾智慧化分拣</w:t>
            </w:r>
            <w:r>
              <w:rPr>
                <w:rFonts w:ascii="仿宋_GB2312" w:hAnsi="仿宋_GB2312" w:cs="仿宋_GB2312" w:eastAsia="仿宋_GB2312"/>
                <w:sz w:val="24"/>
              </w:rPr>
              <w:t>：</w:t>
            </w:r>
            <w:r>
              <w:rPr>
                <w:rFonts w:ascii="仿宋_GB2312" w:hAnsi="仿宋_GB2312" w:cs="仿宋_GB2312" w:eastAsia="仿宋_GB2312"/>
                <w:sz w:val="24"/>
              </w:rPr>
              <w:t>生活垃圾由专用生活垃圾运输车转运至分拣中心生活垃圾暂存点，由铲车将垃圾运至进料口，通过破袋、分选等工序将垃圾分类，分类后可焚烧垃圾及可回收垃圾打包后进行暂存待后续处理，不可焚烧垃圾转运运至生活填埋场进行处理。</w:t>
            </w:r>
          </w:p>
          <w:p>
            <w:pPr>
              <w:pStyle w:val="null5"/>
              <w:ind w:firstLine="480"/>
              <w:jc w:val="left"/>
            </w:pPr>
            <w:r>
              <w:rPr>
                <w:rFonts w:ascii="仿宋_GB2312" w:hAnsi="仿宋_GB2312" w:cs="仿宋_GB2312" w:eastAsia="仿宋_GB2312"/>
                <w:sz w:val="24"/>
              </w:rPr>
              <w:t>每日按时完成卫生清理，将设备、地面进行清扫、冲洗、保洁；定期完成消杀工作、设备的维护保养工作。</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（六）餐厨垃圾处理</w:t>
            </w:r>
            <w:r>
              <w:rPr>
                <w:rFonts w:ascii="仿宋_GB2312" w:hAnsi="仿宋_GB2312" w:cs="仿宋_GB2312" w:eastAsia="仿宋_GB2312"/>
                <w:sz w:val="24"/>
              </w:rPr>
              <w:t>：</w:t>
            </w:r>
            <w:r>
              <w:rPr>
                <w:rFonts w:ascii="仿宋_GB2312" w:hAnsi="仿宋_GB2312" w:cs="仿宋_GB2312" w:eastAsia="仿宋_GB2312"/>
                <w:sz w:val="24"/>
              </w:rPr>
              <w:t>餐厨垃圾由餐厨垃圾清运车转运至餐厨垃圾处理站，卸料至人工分拣池，由工作人员将餐厨垃圾及其他垃圾分类。分类出的餐厨垃圾进入破碎机破碎后，转至发酵仓搅拌发酵，处理完成后出仓暂存。</w:t>
            </w:r>
          </w:p>
          <w:p>
            <w:pPr>
              <w:pStyle w:val="null5"/>
              <w:ind w:firstLine="480"/>
              <w:jc w:val="left"/>
            </w:pPr>
            <w:r>
              <w:rPr>
                <w:rFonts w:ascii="仿宋_GB2312" w:hAnsi="仿宋_GB2312" w:cs="仿宋_GB2312" w:eastAsia="仿宋_GB2312"/>
                <w:sz w:val="24"/>
              </w:rPr>
              <w:t>每日按时完成卫生清理，将设备、地面进行清扫、冲洗、保洁；定期完成消杀工作、设备的维护保养工作。</w:t>
            </w:r>
          </w:p>
          <w:p>
            <w:pPr>
              <w:pStyle w:val="null5"/>
              <w:ind w:firstLine="480"/>
              <w:jc w:val="left"/>
            </w:pPr>
            <w:r>
              <w:rPr>
                <w:rFonts w:ascii="仿宋_GB2312" w:hAnsi="仿宋_GB2312" w:cs="仿宋_GB2312" w:eastAsia="仿宋_GB2312"/>
                <w:sz w:val="24"/>
              </w:rPr>
              <w:t>（七）垃圾收集容器维护维修</w:t>
            </w:r>
            <w:r>
              <w:rPr>
                <w:rFonts w:ascii="仿宋_GB2312" w:hAnsi="仿宋_GB2312" w:cs="仿宋_GB2312" w:eastAsia="仿宋_GB2312"/>
                <w:sz w:val="24"/>
              </w:rPr>
              <w:t>：</w:t>
            </w:r>
            <w:r>
              <w:rPr>
                <w:rFonts w:ascii="仿宋_GB2312" w:hAnsi="仿宋_GB2312" w:cs="仿宋_GB2312" w:eastAsia="仿宋_GB2312"/>
                <w:sz w:val="24"/>
              </w:rPr>
              <w:t>负责管理</w:t>
            </w:r>
            <w:r>
              <w:rPr>
                <w:rFonts w:ascii="仿宋_GB2312" w:hAnsi="仿宋_GB2312" w:cs="仿宋_GB2312" w:eastAsia="仿宋_GB2312"/>
                <w:sz w:val="24"/>
              </w:rPr>
              <w:t>150</w:t>
            </w:r>
            <w:r>
              <w:rPr>
                <w:rFonts w:ascii="仿宋_GB2312" w:hAnsi="仿宋_GB2312" w:cs="仿宋_GB2312" w:eastAsia="仿宋_GB2312"/>
                <w:sz w:val="24"/>
              </w:rPr>
              <w:t>个摆臂箱、</w:t>
            </w:r>
            <w:r>
              <w:rPr>
                <w:rFonts w:ascii="仿宋_GB2312" w:hAnsi="仿宋_GB2312" w:cs="仿宋_GB2312" w:eastAsia="仿宋_GB2312"/>
                <w:sz w:val="24"/>
              </w:rPr>
              <w:t>192</w:t>
            </w:r>
            <w:r>
              <w:rPr>
                <w:rFonts w:ascii="仿宋_GB2312" w:hAnsi="仿宋_GB2312" w:cs="仿宋_GB2312" w:eastAsia="仿宋_GB2312"/>
                <w:sz w:val="24"/>
              </w:rPr>
              <w:t>个勾臂箱、</w:t>
            </w:r>
            <w:r>
              <w:rPr>
                <w:rFonts w:ascii="仿宋_GB2312" w:hAnsi="仿宋_GB2312" w:cs="仿宋_GB2312" w:eastAsia="仿宋_GB2312"/>
                <w:sz w:val="24"/>
              </w:rPr>
              <w:t>426</w:t>
            </w:r>
            <w:r>
              <w:rPr>
                <w:rFonts w:ascii="仿宋_GB2312" w:hAnsi="仿宋_GB2312" w:cs="仿宋_GB2312" w:eastAsia="仿宋_GB2312"/>
                <w:sz w:val="24"/>
              </w:rPr>
              <w:t>个果皮箱、</w:t>
            </w:r>
            <w:r>
              <w:rPr>
                <w:rFonts w:ascii="仿宋_GB2312" w:hAnsi="仿宋_GB2312" w:cs="仿宋_GB2312" w:eastAsia="仿宋_GB2312"/>
                <w:sz w:val="24"/>
              </w:rPr>
              <w:t>150</w:t>
            </w:r>
            <w:r>
              <w:rPr>
                <w:rFonts w:ascii="仿宋_GB2312" w:hAnsi="仿宋_GB2312" w:cs="仿宋_GB2312" w:eastAsia="仿宋_GB2312"/>
                <w:sz w:val="24"/>
              </w:rPr>
              <w:t>个分类垃圾桶，分别投放于企事业机关单位、沿街、公园广场、小区等处。</w:t>
            </w:r>
          </w:p>
          <w:p>
            <w:pPr>
              <w:pStyle w:val="null5"/>
              <w:ind w:firstLine="480"/>
              <w:jc w:val="left"/>
            </w:pPr>
            <w:r>
              <w:rPr>
                <w:rFonts w:ascii="仿宋_GB2312" w:hAnsi="仿宋_GB2312" w:cs="仿宋_GB2312" w:eastAsia="仿宋_GB2312"/>
                <w:sz w:val="24"/>
              </w:rPr>
              <w:t>安排环卫工人、司机对各自工作范围内的垃圾收集容器定期进行巡检，确保外观及使用功能正常。定期安排保洁人员使用合适的清洁剂、高压水枪等工具对容器外部进行清洁，去除污渍、异味，保持外观整洁，尤其对于容易脏污的垃圾箱，增加清洁频次。当容器出现部分桶壁破损、盖子损坏较严重等损坏情况时，及时安排更换受损部件，同时对掉漆严重的进行喷漆翻新。</w:t>
            </w:r>
            <w:r>
              <w:rPr>
                <w:rFonts w:ascii="仿宋_GB2312" w:hAnsi="仿宋_GB2312" w:cs="仿宋_GB2312" w:eastAsia="仿宋_GB2312"/>
                <w:sz w:val="24"/>
              </w:rPr>
              <w:t>"</w:t>
            </w:r>
          </w:p>
          <w:p>
            <w:pPr>
              <w:pStyle w:val="null5"/>
              <w:ind w:firstLine="480"/>
              <w:jc w:val="left"/>
            </w:pPr>
            <w:r>
              <w:rPr>
                <w:rFonts w:ascii="仿宋_GB2312" w:hAnsi="仿宋_GB2312" w:cs="仿宋_GB2312" w:eastAsia="仿宋_GB2312"/>
                <w:sz w:val="24"/>
              </w:rPr>
              <w:t>（八）秋季落叶收集清扫</w:t>
            </w:r>
            <w:r>
              <w:rPr>
                <w:rFonts w:ascii="仿宋_GB2312" w:hAnsi="仿宋_GB2312" w:cs="仿宋_GB2312" w:eastAsia="仿宋_GB2312"/>
                <w:sz w:val="24"/>
              </w:rPr>
              <w:t>：</w:t>
            </w:r>
            <w:r>
              <w:rPr>
                <w:rFonts w:ascii="仿宋_GB2312" w:hAnsi="仿宋_GB2312" w:cs="仿宋_GB2312" w:eastAsia="仿宋_GB2312"/>
                <w:sz w:val="24"/>
              </w:rPr>
              <w:t>每年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-11</w:t>
            </w:r>
            <w:r>
              <w:rPr>
                <w:rFonts w:ascii="仿宋_GB2312" w:hAnsi="仿宋_GB2312" w:cs="仿宋_GB2312" w:eastAsia="仿宋_GB2312"/>
                <w:sz w:val="24"/>
              </w:rPr>
              <w:t>月为落叶季，针对城镇范围内树木种类、分布及道路人车流量等综合考虑，采用</w:t>
            </w:r>
            <w:r>
              <w:rPr>
                <w:rFonts w:ascii="仿宋_GB2312" w:hAnsi="仿宋_GB2312" w:cs="仿宋_GB2312" w:eastAsia="仿宋_GB2312"/>
                <w:sz w:val="24"/>
              </w:rPr>
              <w:t>“</w:t>
            </w:r>
            <w:r>
              <w:rPr>
                <w:rFonts w:ascii="仿宋_GB2312" w:hAnsi="仿宋_GB2312" w:cs="仿宋_GB2312" w:eastAsia="仿宋_GB2312"/>
                <w:sz w:val="24"/>
              </w:rPr>
              <w:t>人工</w:t>
            </w:r>
            <w:r>
              <w:rPr>
                <w:rFonts w:ascii="仿宋_GB2312" w:hAnsi="仿宋_GB2312" w:cs="仿宋_GB2312" w:eastAsia="仿宋_GB2312"/>
                <w:sz w:val="24"/>
              </w:rPr>
              <w:t>+</w:t>
            </w:r>
            <w:r>
              <w:rPr>
                <w:rFonts w:ascii="仿宋_GB2312" w:hAnsi="仿宋_GB2312" w:cs="仿宋_GB2312" w:eastAsia="仿宋_GB2312"/>
                <w:sz w:val="24"/>
              </w:rPr>
              <w:t>机械</w:t>
            </w:r>
            <w:r>
              <w:rPr>
                <w:rFonts w:ascii="仿宋_GB2312" w:hAnsi="仿宋_GB2312" w:cs="仿宋_GB2312" w:eastAsia="仿宋_GB2312"/>
                <w:sz w:val="24"/>
              </w:rPr>
              <w:t>”</w:t>
            </w:r>
            <w:r>
              <w:rPr>
                <w:rFonts w:ascii="仿宋_GB2312" w:hAnsi="仿宋_GB2312" w:cs="仿宋_GB2312" w:eastAsia="仿宋_GB2312"/>
                <w:sz w:val="24"/>
              </w:rPr>
              <w:t>作业模式，合理安排人员对落叶量较大的路段进行集中收集清理，同时配置清扫车辆对路面宽、面积大的道路每日循环清扫作业，减少落叶积存。</w:t>
            </w:r>
          </w:p>
          <w:p>
            <w:pPr>
              <w:pStyle w:val="null5"/>
              <w:ind w:firstLine="480"/>
              <w:jc w:val="left"/>
            </w:pPr>
            <w:r>
              <w:rPr>
                <w:rFonts w:ascii="仿宋_GB2312" w:hAnsi="仿宋_GB2312" w:cs="仿宋_GB2312" w:eastAsia="仿宋_GB2312"/>
                <w:sz w:val="24"/>
              </w:rPr>
              <w:t>（九）重大活动及迎检卫生保障</w:t>
            </w:r>
            <w:r>
              <w:rPr>
                <w:rFonts w:ascii="仿宋_GB2312" w:hAnsi="仿宋_GB2312" w:cs="仿宋_GB2312" w:eastAsia="仿宋_GB2312"/>
                <w:sz w:val="24"/>
              </w:rPr>
              <w:t>：</w:t>
            </w:r>
            <w:r>
              <w:rPr>
                <w:rFonts w:ascii="仿宋_GB2312" w:hAnsi="仿宋_GB2312" w:cs="仿宋_GB2312" w:eastAsia="仿宋_GB2312"/>
                <w:sz w:val="24"/>
              </w:rPr>
              <w:t>根据提前对场地路线进行详细勘查，了解环境卫生现状等情况，制定针对性的保障方案。加大道路清扫保洁频次，主干道实行每日多次机械清扫与人工巡回保洁相结合的方式，确保路面无杂物、无污渍，非机动车道和人行道也进行精细化清扫。安排充足的保洁人员不间断巡回保洁，做到垃圾随产随清，时刻保持环境干净整洁，同时根据人流、活动进展情况，灵活调配保洁力量。</w:t>
            </w:r>
          </w:p>
          <w:p>
            <w:pPr>
              <w:pStyle w:val="null5"/>
              <w:ind w:firstLine="480"/>
              <w:jc w:val="left"/>
            </w:pPr>
            <w:r>
              <w:rPr>
                <w:rFonts w:ascii="仿宋_GB2312" w:hAnsi="仿宋_GB2312" w:cs="仿宋_GB2312" w:eastAsia="仿宋_GB2312"/>
                <w:sz w:val="24"/>
              </w:rPr>
              <w:t>（十）其他临时性工作任务</w:t>
            </w:r>
            <w:r>
              <w:rPr>
                <w:rFonts w:ascii="仿宋_GB2312" w:hAnsi="仿宋_GB2312" w:cs="仿宋_GB2312" w:eastAsia="仿宋_GB2312"/>
                <w:sz w:val="24"/>
              </w:rPr>
              <w:t>：</w:t>
            </w:r>
            <w:r>
              <w:rPr>
                <w:rFonts w:ascii="仿宋_GB2312" w:hAnsi="仿宋_GB2312" w:cs="仿宋_GB2312" w:eastAsia="仿宋_GB2312"/>
                <w:sz w:val="24"/>
              </w:rPr>
              <w:t>其他临时性工作任务主要为冬季抗灾、夏季抗洪、临时卫生清理及其他上级部门下达的工作任务。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供应商在投标（响应）时，按照规定提供《锡林郭勒盟政府采购供应商信用承诺函》（格式 详见公告附件），无需再提交上述证明材料。采购人有权在签订合同前要求中标供应商提供 相关证明材料以核实中标供应商承诺事项的真实性。政府采购供应商对信用承诺内容的真实 性、合法性、有效性负责。</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供应商在投标（响应）时，按照规定提供《锡林郭勒盟政府采购供应商信用承诺函》（格式 详见公告附件），无需再提交上述证明材料。采购人有权在签订合同前要求中标供应商提供 相关证明材料以核实中标供应商承诺事项的真实性。政府采购供应商对信用承诺内容的真实 性、合法性、有效性负责。</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供应商在投标（响应）时，按照规定提供《锡林郭勒盟政府采购供应商信用承诺函》（格式 详见公告附件），无需再提交上述证明材料。采购人有权在签订合同前要求中标供应商提供 相关证明材料以核实中标供应商承诺事项的真实性。政府采购供应商对信用承诺内容的真实 性、合法性、有效性负责。</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供应商在投标（响应）时，按照规定提供《锡林郭勒盟政府采购供应商信用承诺函》（格式 详见公告附件），无需再提交上述证明材料。采购人有权在签订合同前要求中标供应商提供 相关证明材料以核实中标供应商承诺事项的真实性。政府采购供应商对信用承诺内容的真实 性、合法性、有效性负责。</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供应商在投标（响应）时，按照规定提供《锡林郭勒盟政府采购供应商信用承诺函》（格式 详见公告附件），无需再提交上述证明材料。采购人有权在签订合同前要求中标供应商提供 相关证明材料以核实中标供应商承诺事项的真实性。政府采购供应商对信用承诺内容的真实 性、合法性、有效性负责。</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供应商的服务方案进行评审，方案是否对项目有充分的了解，清晰合理、论述合理性、全面性、完善性、完整性及可实施性等进行综合评审，措施内容完善、合理，可实施性较强，得7-10分（7≤分值≤10）；措施内容基本完善、合理，基本可行，得4-7分（4≤分值＜7）；措施内容一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人员考核方案</w:t>
            </w:r>
          </w:p>
        </w:tc>
        <w:tc>
          <w:tcPr>
            <w:tcW w:type="dxa" w:w="3115"/>
          </w:tcPr>
          <w:p>
            <w:pPr>
              <w:pStyle w:val="null5"/>
              <w:jc w:val="left"/>
            </w:pPr>
            <w:r>
              <w:rPr>
                <w:rFonts w:ascii="仿宋_GB2312" w:hAnsi="仿宋_GB2312" w:cs="仿宋_GB2312" w:eastAsia="仿宋_GB2312"/>
              </w:rPr>
              <w:t>对供应商的人员考核方案进行评审，考核制度内容设定是否完善、科学、 合理等情况进行综合评审，措施内容完善、合理，可实施性较强，得7-10 分（7≤分值≤10）；措施内容基本完善、合理，基本可行，得4-7分（4≤分值＜7）；措施内容一般、一般合理，一般可行，得0-4（0＜分值＜4） ；不提供方案不得分；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对供应商的服务质量保障方案进行评审，供应商具有详细的服务质量保障措施（包含服务质量保障方案、 安全保密措施等）情况进行综合评审，措施内容完善、合理，可实施性较强，得7-10分（7≤分值≤10）；措施内容基本完善、合理，基本可行，得4-7分（4≤分值＜7）；措施内容一般、一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管理、监管与约束机制</w:t>
            </w:r>
          </w:p>
        </w:tc>
        <w:tc>
          <w:tcPr>
            <w:tcW w:type="dxa" w:w="3115"/>
          </w:tcPr>
          <w:p>
            <w:pPr>
              <w:pStyle w:val="null5"/>
              <w:jc w:val="left"/>
            </w:pPr>
            <w:r>
              <w:rPr>
                <w:rFonts w:ascii="仿宋_GB2312" w:hAnsi="仿宋_GB2312" w:cs="仿宋_GB2312" w:eastAsia="仿宋_GB2312"/>
              </w:rPr>
              <w:t>对供应商的管理、监管与约束机制进行评审：根据供应商得内部管理机构、激励机制、监督机制、自我约束机制、信息反馈及处理机制等情况进行综合评审，措施内容完善、合理，可实施性较强，得7-10分（7≤分值≤10）；措施内容基本完善、合理，基本可行，得4-7分（4≤分值＜7）；措施内容一般、一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体系制度</w:t>
            </w:r>
          </w:p>
        </w:tc>
        <w:tc>
          <w:tcPr>
            <w:tcW w:type="dxa" w:w="3115"/>
          </w:tcPr>
          <w:p>
            <w:pPr>
              <w:pStyle w:val="null5"/>
              <w:jc w:val="left"/>
            </w:pPr>
            <w:r>
              <w:rPr>
                <w:rFonts w:ascii="仿宋_GB2312" w:hAnsi="仿宋_GB2312" w:cs="仿宋_GB2312" w:eastAsia="仿宋_GB2312"/>
              </w:rPr>
              <w:t>对供应商针对本项目建立的体系制度进行评审，体系制度应包含管理组织，人员分工，管理制度等。有完善的劳务人员资薪酬管理体系等制度障，能保证薪酬安全可靠，及时发放， 并承诺不拖欠劳务人员薪酬。措施内容完善、合理，可实施性较强，得7-10分（7≤分值≤10）；措施内容基本完善、合理，基本可行，得4-7分（4≤分值＜7）；措施内容一般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对供应商的应急处理方案进行评审，根据供应商提供的突发事件应急处理方案，处理流程等进行综合评审，措施内容完善、合理，可实施性较强，得7-10分（7≤分值≤10）；措施内容基本完善、合理，基本可行，得4-7分（4≤分值＜7）；措施内容一般、一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对供应商的人员培训方案进行评审，人员培训是否具有明确培训的目标，内容是否完善合理、培训方式是否合理可行等情况进行综合评审，措施内完善、合理，可实施性较强，得7-10分（7≤分值≤10）；措施内容基本完善、合理，基本可行，得4-7分（4≤分值＜7）；措施内容一般、一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其他服务</w:t>
            </w:r>
          </w:p>
        </w:tc>
        <w:tc>
          <w:tcPr>
            <w:tcW w:type="dxa" w:w="3115"/>
          </w:tcPr>
          <w:p>
            <w:pPr>
              <w:pStyle w:val="null5"/>
              <w:jc w:val="left"/>
            </w:pPr>
            <w:r>
              <w:rPr>
                <w:rFonts w:ascii="仿宋_GB2312" w:hAnsi="仿宋_GB2312" w:cs="仿宋_GB2312" w:eastAsia="仿宋_GB2312"/>
              </w:rPr>
              <w:t>对供应商提供其他内容服务方案进行评审，如特色服务、增值服务等，根据方案的合理性、可行性、是否符合采购人实际要求等情况进行综合评审，措施内容完善、合理，可实施性较强，得7-10分（7≤分值≤10）；措施内容基本完善、合理，基本可行，得4-7分（4≤分值＜7）；措施内容一般、一般合理，一般可行，得0-4（0＜分值＜4）；不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供应商具有自2022年1月1日以来类似业绩，每提供一个得2.5分，最多得10分，不提供得0分。（以项目合同为准）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