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洪格尔高勒镇辉腾高勒嘎查2023年发展新型农村牧区集体经济项目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阿巴嘎旗洪格尔高勒镇人民政府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内蒙古嘉实工程管理有限公司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152522-NMGJS-GK-20250001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内蒙古嘉实工程管理有限公司</w:t>
      </w:r>
      <w:r>
        <w:rPr>
          <w:rFonts w:ascii="仿宋_GB2312" w:hAnsi="仿宋_GB2312" w:cs="仿宋_GB2312" w:eastAsia="仿宋_GB2312"/>
        </w:rPr>
        <w:t xml:space="preserve"> 受 </w:t>
      </w:r>
      <w:r>
        <w:rPr>
          <w:rFonts w:ascii="仿宋_GB2312" w:hAnsi="仿宋_GB2312" w:cs="仿宋_GB2312" w:eastAsia="仿宋_GB2312"/>
        </w:rPr>
        <w:t>阿巴嘎旗洪格尔高勒镇人民政府</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洪格尔高勒镇辉腾高勒嘎查2023年发展新型农村牧区集体经济项目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洪格尔高勒镇辉腾高勒嘎查2023年发展新型农村牧区集体经济项目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152522-NMGJS-GK-20250001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阿政采计划[2025]00077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牵引式移动打捆缠膜一体机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1,250,000.00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内蒙古嘉实工程管理有限公司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内蒙古自治区锡林郭勒盟锡林浩特市唐苑花园西区北门27号商铺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高晓楠</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13734883672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阿巴嘎旗洪格尔高勒镇人民政府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阿巴嘎旗洪格尔高勒镇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宝日格乐</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15249579901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代理服务费收费标准：参照内工建协【2022】34号文件规定计取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严格按照三包手册执行，没有三包的质保期按1年要求</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阿巴嘎旗洪格尔高勒镇人民政府</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内蒙古嘉实工程管理有限公司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其他证明材料。采购人有权在签订合同前要求中标（成交）供应商提供相关证明材料以核实中标（成交）供应商承诺事项的真实性(如需中标供应商在签订合同前提供相关佐证材料）。供应商须在投标（响应）文件中按此模板提供承诺函，未提供视为未实质性响应采购文件要求，按无效投标（响应）处理。</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其他证明材料。采购人有权在签订合同前要求中标（成交）供应商提供相关证明材料以核实中标（成交）供应商承诺事项的真实性(如需中标供应商在签订合同前提供相关佐证材料）。供应商须在投标（响应）文件中按此模板提供承诺函，未提供视为未实质性响应采购文件要求，按无效投标（响应）处理。</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其他证明材料。采购人有权在签订合同前要求中标（成交）供应商提供相关证明材料以核实中标（成交）供应商承诺事项的真实性(如需中标供应商在签订合同前提供相关佐证材料）。供应商须在投标（响应）文件中按此模板提供承诺函，未提供视为未实质性响应采购文件要求，按无效投标（响应）处理。</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其他证明材料。采购人有权在签订合同前要求中标（成交）供应商提供相关证明材料以核实中标（成交）供应商承诺事项的真实性(如需中标供应商在签订合同前提供相关佐证材料）。供应商须在投标（响应）文件中按此模板提供承诺函，未提供视为未实质性响应采购文件要求，按无效投标（响应）处理。</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其他证明材料。采购人有权在签订合同前要求中标（成交）供应商提供相关证明材料以核实中标（成交）供应商承诺事项的真实性(如需中标供应商在签订合同前提供相关佐证材料）。供应商须在投标（响应）文件中按此模板提供承诺函，未提供视为未实质性响应采购文件要求，按无效投标（响应）处理。</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洪格尔高勒镇辉腾高勒嘎查2023年发展新型农村牧区集体经济项目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合同签订后20日内完成交货及安装调试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送货上门并安装调试</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1、合同签订后支付30%，达到付款条件起3日，支付合同总金额的30.00%</w:t>
            </w:r>
          </w:p>
          <w:p>
            <w:pPr>
              <w:pStyle w:val="null5"/>
              <w:jc w:val="left"/>
            </w:pPr>
            <w:r>
              <w:rPr>
                <w:rFonts w:ascii="仿宋_GB2312" w:hAnsi="仿宋_GB2312" w:cs="仿宋_GB2312" w:eastAsia="仿宋_GB2312"/>
              </w:rPr>
              <w:t>2、交货完成并经验收合格支付60%，达到付款条件起3日，支付合同总金额的60.00%</w:t>
            </w:r>
          </w:p>
          <w:p>
            <w:pPr>
              <w:pStyle w:val="null5"/>
              <w:jc w:val="left"/>
            </w:pPr>
            <w:r>
              <w:rPr>
                <w:rFonts w:ascii="仿宋_GB2312" w:hAnsi="仿宋_GB2312" w:cs="仿宋_GB2312" w:eastAsia="仿宋_GB2312"/>
              </w:rPr>
              <w:t>3、质量保证期内无质量问题支付10%，达到付款条件起3日，支付合同总金额的10.00%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标的名称：牵引式移动打捆缠膜一体机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left="360"/>
              <w:jc w:val="left"/>
            </w:pPr>
            <w:r>
              <w:rPr>
                <w:rFonts w:ascii="仿宋_GB2312" w:hAnsi="仿宋_GB2312" w:cs="仿宋_GB2312" w:eastAsia="仿宋_GB2312"/>
                <w:sz w:val="22"/>
              </w:rPr>
              <w:t>1.</w:t>
            </w:r>
            <w:r>
              <w:rPr>
                <w:rFonts w:ascii="仿宋_GB2312" w:hAnsi="仿宋_GB2312" w:cs="仿宋_GB2312" w:eastAsia="仿宋_GB2312"/>
                <w:sz w:val="22"/>
              </w:rPr>
              <w:t>作物喂入方式：弹齿式捡拾器，捡拾器宽度：</w:t>
            </w:r>
            <w:r>
              <w:rPr>
                <w:rFonts w:ascii="仿宋_GB2312" w:hAnsi="仿宋_GB2312" w:cs="仿宋_GB2312" w:eastAsia="仿宋_GB2312"/>
                <w:sz w:val="22"/>
              </w:rPr>
              <w:t>≥2100 mm</w:t>
            </w:r>
          </w:p>
          <w:p>
            <w:pPr>
              <w:pStyle w:val="null5"/>
              <w:ind w:left="360"/>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作业方式：由动力设备牵引式作业，传动轴转速</w:t>
            </w:r>
            <w:r>
              <w:rPr>
                <w:rFonts w:ascii="仿宋_GB2312" w:hAnsi="仿宋_GB2312" w:cs="仿宋_GB2312" w:eastAsia="仿宋_GB2312"/>
                <w:sz w:val="22"/>
              </w:rPr>
              <w:t>≤</w:t>
            </w:r>
            <w:r>
              <w:rPr>
                <w:rFonts w:ascii="仿宋_GB2312" w:hAnsi="仿宋_GB2312" w:cs="仿宋_GB2312" w:eastAsia="仿宋_GB2312"/>
                <w:sz w:val="22"/>
              </w:rPr>
              <w:t>540rpm</w:t>
            </w:r>
          </w:p>
          <w:p>
            <w:pPr>
              <w:pStyle w:val="null5"/>
              <w:ind w:left="360"/>
              <w:jc w:val="left"/>
            </w:pPr>
            <w:r>
              <w:rPr>
                <w:rFonts w:ascii="仿宋_GB2312" w:hAnsi="仿宋_GB2312" w:cs="仿宋_GB2312" w:eastAsia="仿宋_GB2312"/>
                <w:sz w:val="22"/>
              </w:rPr>
              <w:t>3.</w:t>
            </w:r>
            <w:r>
              <w:rPr>
                <w:rFonts w:ascii="仿宋_GB2312" w:hAnsi="仿宋_GB2312" w:cs="仿宋_GB2312" w:eastAsia="仿宋_GB2312"/>
                <w:sz w:val="22"/>
              </w:rPr>
              <w:t>切刀装置：刀片数量：</w:t>
            </w:r>
            <w:r>
              <w:rPr>
                <w:rFonts w:ascii="仿宋_GB2312" w:hAnsi="仿宋_GB2312" w:cs="仿宋_GB2312" w:eastAsia="仿宋_GB2312"/>
                <w:sz w:val="22"/>
              </w:rPr>
              <w:t>≥25组刀；刀片保护：液压保护系统</w:t>
            </w:r>
          </w:p>
          <w:p>
            <w:pPr>
              <w:pStyle w:val="null5"/>
              <w:ind w:left="360"/>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打捆室结构和尺寸：钢辊式，</w:t>
            </w:r>
            <w:r>
              <w:rPr>
                <w:rFonts w:ascii="仿宋_GB2312" w:hAnsi="仿宋_GB2312" w:cs="仿宋_GB2312" w:eastAsia="仿宋_GB2312"/>
                <w:sz w:val="22"/>
              </w:rPr>
              <w:t>≥18根钢辊；尺寸：≥直径1250mm*宽1230mm</w:t>
            </w:r>
          </w:p>
          <w:p>
            <w:pPr>
              <w:pStyle w:val="null5"/>
              <w:ind w:left="360"/>
              <w:jc w:val="left"/>
            </w:pPr>
            <w:r>
              <w:rPr>
                <w:rFonts w:ascii="仿宋_GB2312" w:hAnsi="仿宋_GB2312" w:cs="仿宋_GB2312" w:eastAsia="仿宋_GB2312"/>
                <w:sz w:val="22"/>
              </w:rPr>
              <w:t>5.</w:t>
            </w:r>
            <w:r>
              <w:rPr>
                <w:rFonts w:ascii="仿宋_GB2312" w:hAnsi="仿宋_GB2312" w:cs="仿宋_GB2312" w:eastAsia="仿宋_GB2312"/>
                <w:sz w:val="22"/>
              </w:rPr>
              <w:t>驱动方式：链条式，主驱动链条规格</w:t>
            </w:r>
            <w:r>
              <w:rPr>
                <w:rFonts w:ascii="仿宋_GB2312" w:hAnsi="仿宋_GB2312" w:cs="仿宋_GB2312" w:eastAsia="仿宋_GB2312"/>
                <w:sz w:val="22"/>
              </w:rPr>
              <w:t>≥100H，非驱动侧链条规格≥20B，强制喂入链条</w:t>
            </w:r>
            <w:r>
              <w:rPr>
                <w:rFonts w:ascii="仿宋_GB2312" w:hAnsi="仿宋_GB2312" w:cs="仿宋_GB2312" w:eastAsia="仿宋_GB2312"/>
                <w:sz w:val="22"/>
              </w:rPr>
              <w:t>≥</w:t>
            </w:r>
            <w:r>
              <w:rPr>
                <w:rFonts w:ascii="仿宋_GB2312" w:hAnsi="仿宋_GB2312" w:cs="仿宋_GB2312" w:eastAsia="仿宋_GB2312"/>
                <w:sz w:val="22"/>
              </w:rPr>
              <w:t>16B</w:t>
            </w:r>
          </w:p>
          <w:p>
            <w:pPr>
              <w:pStyle w:val="null5"/>
              <w:ind w:left="360"/>
              <w:jc w:val="left"/>
            </w:pPr>
            <w:r>
              <w:rPr>
                <w:rFonts w:ascii="仿宋_GB2312" w:hAnsi="仿宋_GB2312" w:cs="仿宋_GB2312" w:eastAsia="仿宋_GB2312"/>
                <w:sz w:val="22"/>
              </w:rPr>
              <w:t>6.</w:t>
            </w:r>
            <w:r>
              <w:rPr>
                <w:rFonts w:ascii="仿宋_GB2312" w:hAnsi="仿宋_GB2312" w:cs="仿宋_GB2312" w:eastAsia="仿宋_GB2312"/>
                <w:sz w:val="22"/>
              </w:rPr>
              <w:t>★草捆固定方式：NRF内膜和捆草网双重模式，层数调节：电脑控制</w:t>
            </w:r>
          </w:p>
          <w:p>
            <w:pPr>
              <w:pStyle w:val="null5"/>
              <w:ind w:left="360"/>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缠膜系统：膜卷垂直方向缠膜，</w:t>
            </w:r>
            <w:r>
              <w:rPr>
                <w:rFonts w:ascii="仿宋_GB2312" w:hAnsi="仿宋_GB2312" w:cs="仿宋_GB2312" w:eastAsia="仿宋_GB2312"/>
                <w:sz w:val="22"/>
              </w:rPr>
              <w:t>≥</w:t>
            </w:r>
            <w:r>
              <w:rPr>
                <w:rFonts w:ascii="仿宋_GB2312" w:hAnsi="仿宋_GB2312" w:cs="仿宋_GB2312" w:eastAsia="仿宋_GB2312"/>
                <w:sz w:val="22"/>
              </w:rPr>
              <w:t>2个张紧器</w:t>
            </w:r>
          </w:p>
          <w:p>
            <w:pPr>
              <w:pStyle w:val="null5"/>
              <w:ind w:left="360"/>
              <w:jc w:val="left"/>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功能配置：草捆水分测量、草捆重量测量、影像监控摄像头</w:t>
            </w:r>
            <w:r>
              <w:rPr>
                <w:rFonts w:ascii="仿宋_GB2312" w:hAnsi="仿宋_GB2312" w:cs="仿宋_GB2312" w:eastAsia="仿宋_GB2312"/>
                <w:sz w:val="22"/>
              </w:rPr>
              <w:t>≥</w:t>
            </w:r>
            <w:r>
              <w:rPr>
                <w:rFonts w:ascii="仿宋_GB2312" w:hAnsi="仿宋_GB2312" w:cs="仿宋_GB2312" w:eastAsia="仿宋_GB2312"/>
                <w:sz w:val="22"/>
              </w:rPr>
              <w:t>2个、立捆器</w:t>
            </w:r>
          </w:p>
          <w:p>
            <w:pPr>
              <w:pStyle w:val="null5"/>
              <w:ind w:left="360"/>
              <w:jc w:val="left"/>
            </w:pPr>
            <w:r>
              <w:rPr>
                <w:rFonts w:ascii="仿宋_GB2312" w:hAnsi="仿宋_GB2312" w:cs="仿宋_GB2312" w:eastAsia="仿宋_GB2312"/>
                <w:sz w:val="22"/>
              </w:rPr>
              <w:t>9.</w:t>
            </w:r>
            <w:r>
              <w:rPr>
                <w:rFonts w:ascii="仿宋_GB2312" w:hAnsi="仿宋_GB2312" w:cs="仿宋_GB2312" w:eastAsia="仿宋_GB2312"/>
                <w:sz w:val="22"/>
              </w:rPr>
              <w:t>润滑系统：轴承全自动润滑系统，链条持续供油系统。</w:t>
            </w:r>
          </w:p>
          <w:p>
            <w:pPr>
              <w:pStyle w:val="null5"/>
              <w:ind w:left="360"/>
              <w:jc w:val="left"/>
            </w:pPr>
            <w:r>
              <w:rPr>
                <w:rFonts w:ascii="仿宋_GB2312" w:hAnsi="仿宋_GB2312" w:cs="仿宋_GB2312" w:eastAsia="仿宋_GB2312"/>
                <w:sz w:val="22"/>
              </w:rPr>
              <w:t>10.</w:t>
            </w:r>
            <w:r>
              <w:rPr>
                <w:rFonts w:ascii="仿宋_GB2312" w:hAnsi="仿宋_GB2312" w:cs="仿宋_GB2312" w:eastAsia="仿宋_GB2312"/>
                <w:sz w:val="22"/>
              </w:rPr>
              <w:t>解除卡草系统：液压升降底板系统</w:t>
            </w:r>
          </w:p>
          <w:p>
            <w:pPr>
              <w:pStyle w:val="null5"/>
              <w:ind w:left="360"/>
              <w:jc w:val="left"/>
            </w:pPr>
            <w:r>
              <w:rPr>
                <w:rFonts w:ascii="仿宋_GB2312" w:hAnsi="仿宋_GB2312" w:cs="仿宋_GB2312" w:eastAsia="仿宋_GB2312"/>
                <w:sz w:val="22"/>
              </w:rPr>
              <w:t>11.</w:t>
            </w:r>
            <w:r>
              <w:rPr>
                <w:rFonts w:ascii="仿宋_GB2312" w:hAnsi="仿宋_GB2312" w:cs="仿宋_GB2312" w:eastAsia="仿宋_GB2312"/>
                <w:sz w:val="22"/>
              </w:rPr>
              <w:t>膜卷规格：</w:t>
            </w:r>
            <w:r>
              <w:rPr>
                <w:rFonts w:ascii="仿宋_GB2312" w:hAnsi="仿宋_GB2312" w:cs="仿宋_GB2312" w:eastAsia="仿宋_GB2312"/>
                <w:sz w:val="22"/>
              </w:rPr>
              <w:t>≥</w:t>
            </w:r>
            <w:r>
              <w:rPr>
                <w:rFonts w:ascii="仿宋_GB2312" w:hAnsi="仿宋_GB2312" w:cs="仿宋_GB2312" w:eastAsia="仿宋_GB2312"/>
                <w:sz w:val="22"/>
              </w:rPr>
              <w:t>750mm；膜拉伸度：70%和55%</w:t>
            </w:r>
          </w:p>
          <w:p>
            <w:pPr>
              <w:pStyle w:val="null5"/>
              <w:ind w:left="360"/>
              <w:jc w:val="left"/>
            </w:pPr>
            <w:r>
              <w:rPr>
                <w:rFonts w:ascii="仿宋_GB2312" w:hAnsi="仿宋_GB2312" w:cs="仿宋_GB2312" w:eastAsia="仿宋_GB2312"/>
                <w:sz w:val="22"/>
              </w:rPr>
              <w:t>12.</w:t>
            </w:r>
            <w:r>
              <w:rPr>
                <w:rFonts w:ascii="仿宋_GB2312" w:hAnsi="仿宋_GB2312" w:cs="仿宋_GB2312" w:eastAsia="仿宋_GB2312"/>
                <w:sz w:val="22"/>
              </w:rPr>
              <w:t>车桥（车轴）数量：</w:t>
            </w:r>
            <w:r>
              <w:rPr>
                <w:rFonts w:ascii="仿宋_GB2312" w:hAnsi="仿宋_GB2312" w:cs="仿宋_GB2312" w:eastAsia="仿宋_GB2312"/>
                <w:sz w:val="22"/>
              </w:rPr>
              <w:t>≤</w:t>
            </w:r>
            <w:r>
              <w:rPr>
                <w:rFonts w:ascii="仿宋_GB2312" w:hAnsi="仿宋_GB2312" w:cs="仿宋_GB2312" w:eastAsia="仿宋_GB2312"/>
                <w:sz w:val="22"/>
              </w:rPr>
              <w:t>1，承载车轮数量</w:t>
            </w:r>
            <w:r>
              <w:rPr>
                <w:rFonts w:ascii="仿宋_GB2312" w:hAnsi="仿宋_GB2312" w:cs="仿宋_GB2312" w:eastAsia="仿宋_GB2312"/>
                <w:sz w:val="22"/>
              </w:rPr>
              <w:t>≤</w:t>
            </w:r>
            <w:r>
              <w:rPr>
                <w:rFonts w:ascii="仿宋_GB2312" w:hAnsi="仿宋_GB2312" w:cs="仿宋_GB2312" w:eastAsia="仿宋_GB2312"/>
                <w:sz w:val="22"/>
              </w:rPr>
              <w:t>2</w:t>
            </w:r>
          </w:p>
          <w:p>
            <w:pPr>
              <w:pStyle w:val="null5"/>
              <w:ind w:left="360"/>
              <w:jc w:val="left"/>
            </w:pPr>
            <w:r>
              <w:rPr>
                <w:rFonts w:ascii="仿宋_GB2312" w:hAnsi="仿宋_GB2312" w:cs="仿宋_GB2312" w:eastAsia="仿宋_GB2312"/>
                <w:sz w:val="22"/>
              </w:rPr>
              <w:t>13.</w:t>
            </w:r>
            <w:r>
              <w:rPr>
                <w:rFonts w:ascii="仿宋_GB2312" w:hAnsi="仿宋_GB2312" w:cs="仿宋_GB2312" w:eastAsia="仿宋_GB2312"/>
                <w:sz w:val="22"/>
              </w:rPr>
              <w:t>机身重量：</w:t>
            </w:r>
            <w:r>
              <w:rPr>
                <w:rFonts w:ascii="仿宋_GB2312" w:hAnsi="仿宋_GB2312" w:cs="仿宋_GB2312" w:eastAsia="仿宋_GB2312"/>
                <w:sz w:val="22"/>
              </w:rPr>
              <w:t>≤</w:t>
            </w:r>
            <w:r>
              <w:rPr>
                <w:rFonts w:ascii="仿宋_GB2312" w:hAnsi="仿宋_GB2312" w:cs="仿宋_GB2312" w:eastAsia="仿宋_GB2312"/>
                <w:sz w:val="22"/>
              </w:rPr>
              <w:t>6000kg, 机身尺寸：</w:t>
            </w:r>
            <w:r>
              <w:rPr>
                <w:rFonts w:ascii="仿宋_GB2312" w:hAnsi="仿宋_GB2312" w:cs="仿宋_GB2312" w:eastAsia="仿宋_GB2312"/>
                <w:sz w:val="22"/>
              </w:rPr>
              <w:t>≤6</w:t>
            </w:r>
            <w:r>
              <w:rPr>
                <w:rFonts w:ascii="仿宋_GB2312" w:hAnsi="仿宋_GB2312" w:cs="仿宋_GB2312" w:eastAsia="仿宋_GB2312"/>
                <w:sz w:val="22"/>
              </w:rPr>
              <w:t>000mm(长）*2800mm（宽）</w:t>
            </w:r>
          </w:p>
          <w:p>
            <w:pPr>
              <w:pStyle w:val="null5"/>
              <w:ind w:left="360"/>
              <w:jc w:val="left"/>
            </w:pPr>
            <w:r>
              <w:rPr>
                <w:rFonts w:ascii="仿宋_GB2312" w:hAnsi="仿宋_GB2312" w:cs="仿宋_GB2312" w:eastAsia="仿宋_GB2312"/>
                <w:sz w:val="22"/>
              </w:rPr>
              <w:t>14.</w:t>
            </w:r>
            <w:r>
              <w:rPr>
                <w:rFonts w:ascii="仿宋_GB2312" w:hAnsi="仿宋_GB2312" w:cs="仿宋_GB2312" w:eastAsia="仿宋_GB2312"/>
                <w:sz w:val="22"/>
              </w:rPr>
              <w:t>★机器结构：集草料捡拾、切短、打捆、缠膜、卸捆于一个整体的机器。</w:t>
            </w:r>
          </w:p>
          <w:p>
            <w:pPr>
              <w:pStyle w:val="null5"/>
              <w:ind w:left="360"/>
              <w:jc w:val="left"/>
            </w:pPr>
            <w:r>
              <w:rPr>
                <w:rFonts w:ascii="仿宋_GB2312" w:hAnsi="仿宋_GB2312" w:cs="仿宋_GB2312" w:eastAsia="仿宋_GB2312"/>
                <w:sz w:val="22"/>
              </w:rPr>
              <w:t>15.</w:t>
            </w:r>
            <w:r>
              <w:rPr>
                <w:rFonts w:ascii="仿宋_GB2312" w:hAnsi="仿宋_GB2312" w:cs="仿宋_GB2312" w:eastAsia="仿宋_GB2312"/>
                <w:sz w:val="22"/>
              </w:rPr>
              <w:t>强制喂入转子：</w:t>
            </w:r>
            <w:r>
              <w:rPr>
                <w:rFonts w:ascii="仿宋_GB2312" w:hAnsi="仿宋_GB2312" w:cs="仿宋_GB2312" w:eastAsia="仿宋_GB2312"/>
                <w:sz w:val="22"/>
              </w:rPr>
              <w:t>≥四拨齿</w:t>
            </w:r>
          </w:p>
          <w:p>
            <w:pPr>
              <w:pStyle w:val="null5"/>
              <w:ind w:left="360"/>
              <w:jc w:val="left"/>
            </w:pPr>
            <w:r>
              <w:rPr>
                <w:rFonts w:ascii="仿宋_GB2312" w:hAnsi="仿宋_GB2312" w:cs="仿宋_GB2312" w:eastAsia="仿宋_GB2312"/>
                <w:sz w:val="22"/>
              </w:rPr>
              <w:t>16.</w:t>
            </w:r>
            <w:r>
              <w:rPr>
                <w:rFonts w:ascii="仿宋_GB2312" w:hAnsi="仿宋_GB2312" w:cs="仿宋_GB2312" w:eastAsia="仿宋_GB2312"/>
                <w:sz w:val="22"/>
              </w:rPr>
              <w:t>打捆室轴承：内径</w:t>
            </w:r>
            <w:r>
              <w:rPr>
                <w:rFonts w:ascii="仿宋_GB2312" w:hAnsi="仿宋_GB2312" w:cs="仿宋_GB2312" w:eastAsia="仿宋_GB2312"/>
                <w:sz w:val="22"/>
              </w:rPr>
              <w:t>≥55mm</w:t>
            </w:r>
          </w:p>
          <w:p>
            <w:pPr>
              <w:pStyle w:val="null5"/>
              <w:spacing w:after="165"/>
              <w:jc w:val="left"/>
            </w:pPr>
            <w:r>
              <w:rPr>
                <w:rFonts w:ascii="仿宋_GB2312" w:hAnsi="仿宋_GB2312" w:cs="仿宋_GB2312" w:eastAsia="仿宋_GB2312"/>
                <w:sz w:val="22"/>
              </w:rPr>
              <w:t>标注</w:t>
            </w:r>
            <w:r>
              <w:rPr>
                <w:rFonts w:ascii="仿宋_GB2312" w:hAnsi="仿宋_GB2312" w:cs="仿宋_GB2312" w:eastAsia="仿宋_GB2312"/>
                <w:sz w:val="22"/>
              </w:rPr>
              <w:t>“★”条款为实质性要求，如有负偏离作无效投标。</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根据供应商所提供产品参数与招标文件响应程度比较：产品每有1条参数未提供或负偏离的扣1.5分，最多扣15分。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供应商有完善的质量保证体系、质量保证措施等情况做出综合评价。内容完善、合理，完全满足采购需求，得15-10（含）分；内容比较完善、比较合理，较满足采购需求，得10-5（含）分；内容基本完善、基本合理，基本满足采购需求得4-1分；差或未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运输方案</w:t>
            </w:r>
          </w:p>
        </w:tc>
        <w:tc>
          <w:tcPr>
            <w:tcW w:type="dxa" w:w="3115"/>
          </w:tcPr>
          <w:p>
            <w:pPr>
              <w:pStyle w:val="null5"/>
              <w:jc w:val="left"/>
            </w:pPr>
            <w:r>
              <w:rPr>
                <w:rFonts w:ascii="仿宋_GB2312" w:hAnsi="仿宋_GB2312" w:cs="仿宋_GB2312" w:eastAsia="仿宋_GB2312"/>
              </w:rPr>
              <w:t>根据响应文件中运输方案，至少包括:货物包装、货物出库、货物运输过程、季节性运输措施和到达地点后的货物交接验收。每一小项完整全面、条理清晰、合理可行的得10-7（含）分；内容合理、可靠、有效性较强得7-4（含）分；方案内容有缺失，针对性一般得4-1分；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供应商提供的供货方案进行评审:方案能充分了解采购需求，方案详细完善，内容具体，有明确的支持保障及经验丰富的相关人员安排，供货保证措施可靠性强，进度安排合理有层次、时间安排合理迅速的得10-7（含）分；供货方案较完整，有明确的支持保障及相关人员安排，供货保证措施可靠性较强，进度安排、时间安排较合理得7-4（含）分；供货方案基本完整，相关人员安排，供货保证措施可靠性基本可行，进度安排、时间安排基本合理得4-1分；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响应文件中提供的售后服务方案进行综合评审：售后服务体系服务内容、服务承诺全面完整、合理、明晰、切实可行得10-7（含）分；售后服务体系服务内容、服务承诺较合理，相对完整得7-4（含）分；售后服务体系服务内容、服务承诺过于简单或不合理得4-1分；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提供自2022年1月1日以来至投标截止日期，承揽的类似畜牧业养殖（加工）机械设备供货业绩，每提供一份得2.5分，最多得10分。注：时间以合同签订日期为准，证明材料以合同为准。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