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2024年村级公益事业伊和宝拉格嘎查新建挡雪屏障财政奖补项目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阿巴嘎旗洪格尔高勒镇人民政府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中轩项目管理有限公司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152522-ZXXMGL-CS-20250001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中轩项目管理有限公司</w:t>
      </w:r>
      <w:r>
        <w:rPr>
          <w:rFonts w:ascii="仿宋_GB2312" w:hAnsi="仿宋_GB2312" w:cs="仿宋_GB2312" w:eastAsia="仿宋_GB2312"/>
        </w:rPr>
        <w:t xml:space="preserve"> 受 </w:t>
      </w:r>
      <w:r>
        <w:rPr>
          <w:rFonts w:ascii="仿宋_GB2312" w:hAnsi="仿宋_GB2312" w:cs="仿宋_GB2312" w:eastAsia="仿宋_GB2312"/>
        </w:rPr>
        <w:t>阿巴嘎旗洪格尔高勒镇人民政府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2024年村级公益事业伊和宝拉格嘎查新建挡雪屏障财政奖补项目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2024年村级公益事业伊和宝拉格嘎查新建挡雪屏障财政奖补项目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152522-ZXXMGL-CS-20250001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阿政采计划[2025]00098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阿巴嘎旗洪格尔高勒镇2024年村级公益事业伊和宝拉格嘎查新建挡雪屏障财政奖补项目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具有建设行政主管部门核发的建筑工程施工总承包乙级及以上资质且具备有效的安全生产许可证；（根据“住房和城乡建设部关于印发建设工程企业资质管理制度改革方案的通知”建市〔2020〕94号文件通知）。若供应商还未申办以上资质，须具有建设行政主管部门核发的建筑工程施工总承包三级及以上资质且具备有效的安全生产许可证；</w:t>
      </w:r>
    </w:p>
    <w:p>
      <w:pPr>
        <w:pStyle w:val="null5"/>
        <w:jc w:val="left"/>
      </w:pPr>
      <w:r>
        <w:rPr>
          <w:rFonts w:ascii="仿宋_GB2312" w:hAnsi="仿宋_GB2312" w:cs="仿宋_GB2312" w:eastAsia="仿宋_GB2312"/>
        </w:rPr>
        <w:t>2、项目经理：项目经理具备本企业贰级（含贰级）及以上建筑工程专业注册建造师，并具有安全生产考核合格证书且无在建工程，提供身份证、注册证书、安全生产考核合格证书、无在建声明函（格式自拟）</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中轩项目管理有限公司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陕西省西安市莲湖区陕西省西安市莲湖区未央路 99 号荣民中央国际10层1001室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张鹏</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17791687327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阿巴嘎旗洪格尔高勒镇人民政府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阿巴嘎旗洪格尔高勒镇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宝日格乐</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15249579901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代理服务费收费标准：参照内工建协【2022】34号文件规定计取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阿巴嘎旗洪格尔高勒镇人民政府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中轩项目管理有限公司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2024年村级公益事业伊和宝拉格嘎查新建挡雪屏障财政奖补项目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工期：30日历天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工程实际地点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1、合同签订后支付，达到付款条件起3日，支付合同总金额的30.00%</w:t>
            </w:r>
          </w:p>
          <w:p>
            <w:pPr>
              <w:pStyle w:val="null5"/>
              <w:jc w:val="left"/>
            </w:pPr>
            <w:r>
              <w:rPr>
                <w:rFonts w:ascii="仿宋_GB2312" w:hAnsi="仿宋_GB2312" w:cs="仿宋_GB2312" w:eastAsia="仿宋_GB2312"/>
              </w:rPr>
              <w:t>2、工程完成50%以上支付，达到付款条件起3日，支付合同总金额的30.00%</w:t>
            </w:r>
          </w:p>
          <w:p>
            <w:pPr>
              <w:pStyle w:val="null5"/>
              <w:jc w:val="left"/>
            </w:pPr>
            <w:r>
              <w:rPr>
                <w:rFonts w:ascii="仿宋_GB2312" w:hAnsi="仿宋_GB2312" w:cs="仿宋_GB2312" w:eastAsia="仿宋_GB2312"/>
              </w:rPr>
              <w:t>3、工程竣工通过验收及审计后支付，达到付款条件起3日，支付合同总金额的40.00%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标的名称：阿巴嘎旗洪格尔高勒镇2024年村级公益事业伊和宝拉格嘎查新建挡雪屏障财政奖补项目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满足工程量清单要求</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其他证明材料。采购人有权在签订合同前要求中标（成交）供应商提供相关证明材料以核实中标（成交）供应商承诺事项的真实性(如需中标供应商在签订合同前提供相关佐证材料）。供应商须在投标（响应）文件中按此模板提供承诺函，未提供视为未实质性响应采购文件要求，按无效投标（响应）处理。</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其他证明材料。采购人有权在签订合同前要求中标（成交）供应商提供相关证明材料以核实中标（成交）供应商承诺事项的真实性(如需中标供应商在签订合同前提供相关佐证材料）。供应商须在投标（响应）文件中按此模板提供承诺函，未提供视为未实质性响应采购文件要求，按无效投标（响应）处理。</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其他证明材料。采购人有权在签订合同前要求中标（成交）供应商提供相关证明材料以核实中标（成交）供应商承诺事项的真实性(如需中标供应商在签订合同前提供相关佐证材料）。供应商须在投标（响应）文件中按此模板提供承诺函，未提供视为未实质性响应采购文件要求，按无效投标（响应）处理。</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其他证明材料。采购人有权在签订合同前要求中标（成交）供应商提供相关证明材料以核实中标（成交）供应商承诺事项的真实性(如需中标供应商在签订合同前提供相关佐证材料）。供应商须在投标（响应）文件中按此模板提供承诺函，未提供视为未实质性响应采购文件要求，按无效投标（响应）处理。</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其他证明材料。采购人有权在签订合同前要求中标（成交）供应商提供相关证明材料以核实中标（成交）供应商承诺事项的真实性(如需中标供应商在签订合同前提供相关佐证材料）。供应商须在投标（响应）文件中按此模板提供承诺函，未提供视为未实质性响应采购文件要求，按无效投标（响应）处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具有建设行政主管部门核发的建筑工程施工总承包乙级及以上资质且具备有效的安全生产许可证；（根据“住房和城乡建设部关于印发建设工程企业资质管理制度改革方案的通知”建市〔2020〕94号文件通知）。若供应商还未申办以上资质，须具有建设行政主管部门核发的建筑工程施工总承包三级及以上资质且具备有效的安全生产许可证；</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项目经理具备本企业贰级（含贰级）及以上建筑工程专业注册建造师，并具有安全生产考核合格证书且无在建工程，提供身份证、注册证书、安全生产考核合格证书、无在建声明函（格式自拟）</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主要施工方法</w:t>
            </w:r>
          </w:p>
        </w:tc>
        <w:tc>
          <w:tcPr>
            <w:tcW w:type="dxa" w:w="3115"/>
          </w:tcPr>
          <w:p>
            <w:pPr>
              <w:pStyle w:val="null5"/>
              <w:jc w:val="left"/>
            </w:pPr>
            <w:r>
              <w:rPr>
                <w:rFonts w:ascii="仿宋_GB2312" w:hAnsi="仿宋_GB2312" w:cs="仿宋_GB2312" w:eastAsia="仿宋_GB2312"/>
              </w:rPr>
              <w:t>根据施工方案的合理性，技术措施对工程质量、工期和施工安全保障的针对性打分；方案内容完整、合理、针对性强得10-8分；方案内容相对完整、针对性较强得7-5分；方案内容一般，针对性一般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工期保证措施</w:t>
            </w:r>
          </w:p>
        </w:tc>
        <w:tc>
          <w:tcPr>
            <w:tcW w:type="dxa" w:w="3115"/>
          </w:tcPr>
          <w:p>
            <w:pPr>
              <w:pStyle w:val="null5"/>
              <w:jc w:val="left"/>
            </w:pPr>
            <w:r>
              <w:rPr>
                <w:rFonts w:ascii="仿宋_GB2312" w:hAnsi="仿宋_GB2312" w:cs="仿宋_GB2312" w:eastAsia="仿宋_GB2312"/>
              </w:rPr>
              <w:t>工程保证措施合理高效，各分项施工内容有清晰的关键时间节点，施工管控措施合理有针对性，制定切实可行的工期保障措施：内容完整、合理、可行性强、针对性强得10-8分；工程进度计划与措施一般、可行性一般、针对性一般得7-5分；工程进度计划与措施内容粗略、可行性、针对性较差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质量管理体系与措施合理有效，质量控制计划完整、施工过程中的材料采购、过程控制及检验、各施工分项维修措施有针对性；内容完整、合理、可行性高、针对性强得10-8分；内容、针对性较强得7-5分； 内容粗略、针对性一般得4-1分，未提供不得分。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安全文明施工目标满足招标文件要求，安全管理体系健全、单位工程安全防护方案符合国家及地方管理规定，防护措施 提出具体有效的安全措施方案。 内容完整、合理、可行 性强、针对性强得10-8分；内容较完整、较合理、可行性、针对性较强得7-5分；内容粗略，可行性、针对性一般得4-1分，未提供不得分。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制定完善的环境管理体系，针对本项目防尘污染、噪音污染、垃圾清运、绿色节能环保等提出具体有效的管理措施。内容完整、合理、可行性强得10-8分；内容较完整、较合理、可行性较强得 7-5分；内容粗略，可行性一般得4-1分，未提供不得分。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拟投入人员、机械设备</w:t>
            </w:r>
          </w:p>
        </w:tc>
        <w:tc>
          <w:tcPr>
            <w:tcW w:type="dxa" w:w="3115"/>
          </w:tcPr>
          <w:p>
            <w:pPr>
              <w:pStyle w:val="null5"/>
              <w:jc w:val="left"/>
            </w:pPr>
            <w:r>
              <w:rPr>
                <w:rFonts w:ascii="仿宋_GB2312" w:hAnsi="仿宋_GB2312" w:cs="仿宋_GB2312" w:eastAsia="仿宋_GB2312"/>
              </w:rPr>
              <w:t>劳动力计划工种齐备，劳动力、施工机具按工序合理组织进场，配备数量符合项目需求，施工机具达到正常运作能力：投入的劳动力充足、施工设备数量、种类配置齐全合理得10-8分； 投入的劳动力较充足、施工设备数量、种类配置较齐全得7-5分；投入的劳动力一般、施工设备数量、 种类配置一般得4-1分，未提供不得分。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供应商近三年（2022年至今，以合同签订日期为准）承担过类似项目施工，每有一项业绩得2.5分，最高得10分。 （响应文件须附合同扫描件）。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