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2024年农村公益事业财政奖补项目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西乌珠穆沁旗吉仁高勒镇人民政府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内蒙古虹端项目管理有限公司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152526-NMGHD-GK-20250001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内蒙古虹端项目管理有限公司</w:t>
      </w:r>
      <w:r>
        <w:rPr>
          <w:rFonts w:ascii="仿宋_GB2312" w:hAnsi="仿宋_GB2312" w:cs="仿宋_GB2312" w:eastAsia="仿宋_GB2312"/>
        </w:rPr>
        <w:t xml:space="preserve"> 受 </w:t>
      </w:r>
      <w:r>
        <w:rPr>
          <w:rFonts w:ascii="仿宋_GB2312" w:hAnsi="仿宋_GB2312" w:cs="仿宋_GB2312" w:eastAsia="仿宋_GB2312"/>
        </w:rPr>
        <w:t>西乌珠穆沁旗吉仁高勒镇人民政府</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2024年农村公益事业财政奖补项目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2024年农村公益事业财政奖补项目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152526-NMGHD-GK-20250001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西财购政采计划[2025]00100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50型号装载机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800,000.00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内蒙古虹端项目管理有限公司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内蒙古自治区锡林郭勒盟锡林浩特市内蒙古自治区锡林郭勒盟锡林浩特市查干街华城润泽南门底商89号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席志国</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18747915949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西乌珠穆沁旗吉仁高勒镇人民政府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西乌珠穆沁旗吉仁高勒镇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额布力格</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18804793300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代理服务费收费标准：参照内工建协（2022）34号文件规定计取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西乌珠穆沁旗吉仁高勒镇人民政府</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内蒙古虹端项目管理有限公司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购买50型号铲车两辆</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合同签订后30个日历日。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吉仁高勒镇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1、到货验收合格后支付100%，达到付款条件起30日，支付合同总金额的100.00%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标的名称：50型号装载机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rPr>
              <w:t>▲</w:t>
            </w:r>
            <w:r>
              <w:rPr>
                <w:rFonts w:ascii="仿宋_GB2312" w:hAnsi="仿宋_GB2312" w:cs="仿宋_GB2312" w:eastAsia="仿宋_GB2312"/>
                <w:sz w:val="28"/>
              </w:rPr>
              <w:t>额定斗容量</w:t>
            </w:r>
            <w:r>
              <w:rPr>
                <w:rFonts w:ascii="仿宋_GB2312" w:hAnsi="仿宋_GB2312" w:cs="仿宋_GB2312" w:eastAsia="仿宋_GB2312"/>
                <w:sz w:val="28"/>
              </w:rPr>
              <w:t>m</w:t>
            </w:r>
            <w:r>
              <w:rPr>
                <w:rFonts w:ascii="仿宋_GB2312" w:hAnsi="仿宋_GB2312" w:cs="仿宋_GB2312" w:eastAsia="仿宋_GB2312"/>
                <w:sz w:val="28"/>
                <w:vertAlign w:val="superscript"/>
              </w:rPr>
              <w:t>3</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2.8</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额定载重量㎏</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5300</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整机工作质量㎏</w:t>
            </w:r>
            <w:r>
              <w:rPr>
                <w:rFonts w:ascii="仿宋_GB2312" w:hAnsi="仿宋_GB2312" w:cs="仿宋_GB2312" w:eastAsia="仿宋_GB2312"/>
                <w:sz w:val="28"/>
              </w:rPr>
              <w:t>：</w:t>
            </w:r>
            <w:r>
              <w:rPr>
                <w:rFonts w:ascii="仿宋_GB2312" w:hAnsi="仿宋_GB2312" w:cs="仿宋_GB2312" w:eastAsia="仿宋_GB2312"/>
                <w:sz w:val="28"/>
              </w:rPr>
              <w:t>17100</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00</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卸载高度</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34</w:t>
            </w:r>
            <w:r>
              <w:rPr>
                <w:rFonts w:ascii="仿宋_GB2312" w:hAnsi="仿宋_GB2312" w:cs="仿宋_GB2312" w:eastAsia="仿宋_GB2312"/>
                <w:sz w:val="28"/>
              </w:rPr>
              <w:t>00</w:t>
            </w:r>
          </w:p>
          <w:p>
            <w:pPr>
              <w:pStyle w:val="null5"/>
              <w:jc w:val="both"/>
            </w:pPr>
            <w:r>
              <w:rPr>
                <w:rFonts w:ascii="仿宋_GB2312" w:hAnsi="仿宋_GB2312" w:cs="仿宋_GB2312" w:eastAsia="仿宋_GB2312"/>
                <w:sz w:val="28"/>
              </w:rPr>
              <w:t>卸载距离</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1180</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轴距</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3250</w:t>
            </w:r>
          </w:p>
          <w:p>
            <w:pPr>
              <w:pStyle w:val="null5"/>
              <w:jc w:val="both"/>
            </w:pPr>
            <w:r>
              <w:rPr>
                <w:rFonts w:ascii="仿宋_GB2312" w:hAnsi="仿宋_GB2312" w:cs="仿宋_GB2312" w:eastAsia="仿宋_GB2312"/>
                <w:sz w:val="28"/>
              </w:rPr>
              <w:t>轮距</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 xml:space="preserve">2200  </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8"/>
              </w:rPr>
              <w:t>整机长度</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84</w:t>
            </w:r>
            <w:r>
              <w:rPr>
                <w:rFonts w:ascii="仿宋_GB2312" w:hAnsi="仿宋_GB2312" w:cs="仿宋_GB2312" w:eastAsia="仿宋_GB2312"/>
                <w:sz w:val="28"/>
              </w:rPr>
              <w:t>0</w:t>
            </w:r>
            <w:r>
              <w:rPr>
                <w:rFonts w:ascii="仿宋_GB2312" w:hAnsi="仿宋_GB2312" w:cs="仿宋_GB2312" w:eastAsia="仿宋_GB2312"/>
                <w:sz w:val="28"/>
              </w:rPr>
              <w:t>0</w:t>
            </w:r>
          </w:p>
          <w:p>
            <w:pPr>
              <w:pStyle w:val="null5"/>
              <w:jc w:val="both"/>
            </w:pPr>
            <w:r>
              <w:rPr>
                <w:rFonts w:ascii="仿宋_GB2312" w:hAnsi="仿宋_GB2312" w:cs="仿宋_GB2312" w:eastAsia="仿宋_GB2312"/>
                <w:sz w:val="28"/>
              </w:rPr>
              <w:t>整机高度</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34</w:t>
            </w:r>
            <w:r>
              <w:rPr>
                <w:rFonts w:ascii="仿宋_GB2312" w:hAnsi="仿宋_GB2312" w:cs="仿宋_GB2312" w:eastAsia="仿宋_GB2312"/>
                <w:sz w:val="28"/>
              </w:rPr>
              <w:t>50</w:t>
            </w:r>
          </w:p>
          <w:p>
            <w:pPr>
              <w:pStyle w:val="null5"/>
              <w:jc w:val="both"/>
            </w:pPr>
            <w:r>
              <w:rPr>
                <w:rFonts w:ascii="仿宋_GB2312" w:hAnsi="仿宋_GB2312" w:cs="仿宋_GB2312" w:eastAsia="仿宋_GB2312"/>
                <w:sz w:val="28"/>
              </w:rPr>
              <w:t>铲斗宽度</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299</w:t>
            </w:r>
            <w:r>
              <w:rPr>
                <w:rFonts w:ascii="仿宋_GB2312" w:hAnsi="仿宋_GB2312" w:cs="仿宋_GB2312" w:eastAsia="仿宋_GB2312"/>
                <w:sz w:val="28"/>
              </w:rPr>
              <w:t>0</w:t>
            </w:r>
          </w:p>
          <w:p>
            <w:pPr>
              <w:pStyle w:val="null5"/>
              <w:jc w:val="both"/>
            </w:pPr>
            <w:r>
              <w:rPr>
                <w:rFonts w:ascii="仿宋_GB2312" w:hAnsi="仿宋_GB2312" w:cs="仿宋_GB2312" w:eastAsia="仿宋_GB2312"/>
                <w:sz w:val="28"/>
              </w:rPr>
              <w:t>最大掘起力</w:t>
            </w:r>
            <w:r>
              <w:rPr>
                <w:rFonts w:ascii="仿宋_GB2312" w:hAnsi="仿宋_GB2312" w:cs="仿宋_GB2312" w:eastAsia="仿宋_GB2312"/>
                <w:sz w:val="28"/>
              </w:rPr>
              <w:t>kN</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170</w:t>
            </w:r>
          </w:p>
          <w:p>
            <w:pPr>
              <w:pStyle w:val="null5"/>
              <w:jc w:val="both"/>
            </w:pPr>
            <w:r>
              <w:rPr>
                <w:rFonts w:ascii="仿宋_GB2312" w:hAnsi="仿宋_GB2312" w:cs="仿宋_GB2312" w:eastAsia="仿宋_GB2312"/>
                <w:sz w:val="28"/>
              </w:rPr>
              <w:t>轮胎中心（转弯半径）㎜</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6000</w:t>
            </w:r>
          </w:p>
          <w:p>
            <w:pPr>
              <w:pStyle w:val="null5"/>
              <w:jc w:val="both"/>
            </w:pPr>
            <w:r>
              <w:rPr>
                <w:rFonts w:ascii="仿宋_GB2312" w:hAnsi="仿宋_GB2312" w:cs="仿宋_GB2312" w:eastAsia="仿宋_GB2312"/>
                <w:sz w:val="28"/>
              </w:rPr>
              <w:t>最大转向角</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37</w:t>
            </w:r>
            <w:r>
              <w:rPr>
                <w:rFonts w:ascii="仿宋_GB2312" w:hAnsi="仿宋_GB2312" w:cs="仿宋_GB2312" w:eastAsia="仿宋_GB2312"/>
                <w:sz w:val="28"/>
              </w:rPr>
              <w:t>±</w:t>
            </w:r>
            <w:r>
              <w:rPr>
                <w:rFonts w:ascii="仿宋_GB2312" w:hAnsi="仿宋_GB2312" w:cs="仿宋_GB2312" w:eastAsia="仿宋_GB2312"/>
                <w:sz w:val="28"/>
              </w:rPr>
              <w:t>1</w:t>
            </w:r>
          </w:p>
          <w:p>
            <w:pPr>
              <w:pStyle w:val="null5"/>
              <w:jc w:val="both"/>
            </w:pPr>
            <w:r>
              <w:rPr>
                <w:rFonts w:ascii="仿宋_GB2312" w:hAnsi="仿宋_GB2312" w:cs="仿宋_GB2312" w:eastAsia="仿宋_GB2312"/>
                <w:sz w:val="28"/>
              </w:rPr>
              <w:t>动臂提升时间</w:t>
            </w:r>
            <w:r>
              <w:rPr>
                <w:rFonts w:ascii="仿宋_GB2312" w:hAnsi="仿宋_GB2312" w:cs="仿宋_GB2312" w:eastAsia="仿宋_GB2312"/>
                <w:sz w:val="28"/>
              </w:rPr>
              <w:t>s</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5</w:t>
            </w:r>
          </w:p>
          <w:p>
            <w:pPr>
              <w:pStyle w:val="null5"/>
              <w:jc w:val="both"/>
            </w:pPr>
            <w:r>
              <w:rPr>
                <w:rFonts w:ascii="仿宋_GB2312" w:hAnsi="仿宋_GB2312" w:cs="仿宋_GB2312" w:eastAsia="仿宋_GB2312"/>
                <w:sz w:val="28"/>
              </w:rPr>
              <w:t>三项和时间</w:t>
            </w:r>
            <w:r>
              <w:rPr>
                <w:rFonts w:ascii="仿宋_GB2312" w:hAnsi="仿宋_GB2312" w:cs="仿宋_GB2312" w:eastAsia="仿宋_GB2312"/>
                <w:sz w:val="28"/>
              </w:rPr>
              <w:t>s</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10</w:t>
            </w:r>
          </w:p>
          <w:p>
            <w:pPr>
              <w:pStyle w:val="null5"/>
              <w:jc w:val="both"/>
            </w:pPr>
            <w:r>
              <w:rPr>
                <w:rFonts w:ascii="仿宋_GB2312" w:hAnsi="仿宋_GB2312" w:cs="仿宋_GB2312" w:eastAsia="仿宋_GB2312"/>
                <w:sz w:val="28"/>
              </w:rPr>
              <w:t>发动机</w:t>
            </w:r>
            <w:r>
              <w:rPr>
                <w:rFonts w:ascii="仿宋_GB2312" w:hAnsi="仿宋_GB2312" w:cs="仿宋_GB2312" w:eastAsia="仿宋_GB2312"/>
                <w:sz w:val="28"/>
              </w:rPr>
              <w:t>：</w:t>
            </w:r>
            <w:r>
              <w:rPr>
                <w:rFonts w:ascii="仿宋_GB2312" w:hAnsi="仿宋_GB2312" w:cs="仿宋_GB2312" w:eastAsia="仿宋_GB2312"/>
                <w:sz w:val="28"/>
              </w:rPr>
              <w:t>WP10HG230E476</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额定功率</w:t>
            </w:r>
            <w:r>
              <w:rPr>
                <w:rFonts w:ascii="仿宋_GB2312" w:hAnsi="仿宋_GB2312" w:cs="仿宋_GB2312" w:eastAsia="仿宋_GB2312"/>
                <w:sz w:val="28"/>
              </w:rPr>
              <w:t>kW</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170</w:t>
            </w:r>
          </w:p>
          <w:p>
            <w:pPr>
              <w:pStyle w:val="null5"/>
              <w:jc w:val="both"/>
            </w:pPr>
            <w:r>
              <w:rPr>
                <w:rFonts w:ascii="仿宋_GB2312" w:hAnsi="仿宋_GB2312" w:cs="仿宋_GB2312" w:eastAsia="仿宋_GB2312"/>
                <w:sz w:val="28"/>
              </w:rPr>
              <w:t>额定转速</w:t>
            </w:r>
            <w:r>
              <w:rPr>
                <w:rFonts w:ascii="仿宋_GB2312" w:hAnsi="仿宋_GB2312" w:cs="仿宋_GB2312" w:eastAsia="仿宋_GB2312"/>
                <w:sz w:val="28"/>
              </w:rPr>
              <w:t>r/min</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2200</w:t>
            </w:r>
          </w:p>
          <w:p>
            <w:pPr>
              <w:pStyle w:val="null5"/>
              <w:jc w:val="both"/>
            </w:pPr>
            <w:r>
              <w:rPr>
                <w:rFonts w:ascii="仿宋_GB2312" w:hAnsi="仿宋_GB2312" w:cs="仿宋_GB2312" w:eastAsia="仿宋_GB2312"/>
                <w:sz w:val="28"/>
              </w:rPr>
              <w:t>排量：</w:t>
            </w:r>
            <w:r>
              <w:rPr>
                <w:rFonts w:ascii="仿宋_GB2312" w:hAnsi="仿宋_GB2312" w:cs="仿宋_GB2312" w:eastAsia="仿宋_GB2312"/>
                <w:sz w:val="28"/>
              </w:rPr>
              <w:t>≥</w:t>
            </w:r>
            <w:r>
              <w:rPr>
                <w:rFonts w:ascii="仿宋_GB2312" w:hAnsi="仿宋_GB2312" w:cs="仿宋_GB2312" w:eastAsia="仿宋_GB2312"/>
                <w:sz w:val="28"/>
              </w:rPr>
              <w:t>9.5L</w:t>
            </w:r>
          </w:p>
          <w:p>
            <w:pPr>
              <w:pStyle w:val="null5"/>
              <w:jc w:val="both"/>
            </w:pPr>
            <w:r>
              <w:rPr>
                <w:rFonts w:ascii="仿宋_GB2312" w:hAnsi="仿宋_GB2312" w:cs="仿宋_GB2312" w:eastAsia="仿宋_GB2312"/>
                <w:sz w:val="28"/>
              </w:rPr>
              <w:t>▲</w:t>
            </w:r>
            <w:r>
              <w:rPr>
                <w:rFonts w:ascii="仿宋_GB2312" w:hAnsi="仿宋_GB2312" w:cs="仿宋_GB2312" w:eastAsia="仿宋_GB2312"/>
                <w:sz w:val="28"/>
              </w:rPr>
              <w:t>排放标准：非道路国四</w:t>
            </w:r>
          </w:p>
          <w:p>
            <w:pPr>
              <w:pStyle w:val="null5"/>
              <w:jc w:val="both"/>
            </w:pPr>
            <w:r>
              <w:rPr>
                <w:rFonts w:ascii="仿宋_GB2312" w:hAnsi="仿宋_GB2312" w:cs="仿宋_GB2312" w:eastAsia="仿宋_GB2312"/>
                <w:sz w:val="28"/>
              </w:rPr>
              <w:t>轮胎型号</w:t>
            </w:r>
            <w:r>
              <w:rPr>
                <w:rFonts w:ascii="仿宋_GB2312" w:hAnsi="仿宋_GB2312" w:cs="仿宋_GB2312" w:eastAsia="仿宋_GB2312"/>
                <w:sz w:val="28"/>
              </w:rPr>
              <w:t>：</w:t>
            </w:r>
            <w:r>
              <w:rPr>
                <w:rFonts w:ascii="仿宋_GB2312" w:hAnsi="仿宋_GB2312" w:cs="仿宋_GB2312" w:eastAsia="仿宋_GB2312"/>
                <w:sz w:val="28"/>
              </w:rPr>
              <w:t>23.5-25</w:t>
            </w:r>
          </w:p>
          <w:p>
            <w:pPr>
              <w:pStyle w:val="null5"/>
              <w:jc w:val="both"/>
            </w:pPr>
            <w:r>
              <w:rPr>
                <w:rFonts w:ascii="仿宋_GB2312" w:hAnsi="仿宋_GB2312" w:cs="仿宋_GB2312" w:eastAsia="仿宋_GB2312"/>
                <w:sz w:val="28"/>
              </w:rPr>
              <w:t>桥：干式桥</w:t>
            </w:r>
          </w:p>
          <w:p>
            <w:pPr>
              <w:pStyle w:val="null5"/>
              <w:jc w:val="both"/>
            </w:pPr>
            <w:r>
              <w:rPr>
                <w:rFonts w:ascii="仿宋_GB2312" w:hAnsi="仿宋_GB2312" w:cs="仿宋_GB2312" w:eastAsia="仿宋_GB2312"/>
                <w:sz w:val="28"/>
              </w:rPr>
              <w:t>操作方式：机械软轴</w:t>
            </w:r>
          </w:p>
          <w:p>
            <w:pPr>
              <w:pStyle w:val="null5"/>
              <w:jc w:val="both"/>
            </w:pPr>
            <w:r>
              <w:rPr>
                <w:rFonts w:ascii="仿宋_GB2312" w:hAnsi="仿宋_GB2312" w:cs="仿宋_GB2312" w:eastAsia="仿宋_GB2312"/>
                <w:sz w:val="28"/>
              </w:rPr>
              <w:t>行车制动：气顶油、钳盘式四轮制动</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w:t>
            </w:r>
          </w:p>
        </w:tc>
        <w:tc>
          <w:tcPr>
            <w:tcW w:type="dxa" w:w="3115"/>
          </w:tcPr>
          <w:p>
            <w:pPr>
              <w:pStyle w:val="null5"/>
              <w:jc w:val="left"/>
            </w:pPr>
            <w:r>
              <w:rPr>
                <w:rFonts w:ascii="仿宋_GB2312" w:hAnsi="仿宋_GB2312" w:cs="仿宋_GB2312" w:eastAsia="仿宋_GB2312"/>
              </w:rPr>
              <w:t>全部满足招标文件技术要求的得20分，其中标“▲”参数为重要参数，每有一项负偏离或不满足扣1分，其他参数为一般参数，每有一项负偏离或不满足扣0.5分。（注：技术参数需提供检测报告或技术白皮书或宣传彩页等相关技术资料扫描件证明文件，证明文件中需详细体现该项参数，未体现的视为该项参数不满足技术要求）。</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产品的特性</w:t>
            </w:r>
          </w:p>
        </w:tc>
        <w:tc>
          <w:tcPr>
            <w:tcW w:type="dxa" w:w="3115"/>
          </w:tcPr>
          <w:p>
            <w:pPr>
              <w:pStyle w:val="null5"/>
              <w:jc w:val="left"/>
            </w:pPr>
            <w:r>
              <w:rPr>
                <w:rFonts w:ascii="仿宋_GB2312" w:hAnsi="仿宋_GB2312" w:cs="仿宋_GB2312" w:eastAsia="仿宋_GB2312"/>
              </w:rPr>
              <w:t>投标产品整体质量、性能状况，标准，根据投标产品的整体稳定性、功能性与技术水平、一致性进行综合评价，评价全面、合理、详细的得5-3分，不全面、不详细的得2-1分，差或不提供的不得分。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投标人提供的质量保障措施进行评审，包括但不限于：①整体质量状况；②质量控制措施；③产品质量检验及验收方案；④使用的科学性及安全性；每缺少一项内容扣2.0分，每项中每有一处存在内容缺陷的扣0.1分，扣完为止。本项满分9.0分。注：内容缺陷是指内容逻辑混乱、内容与实际情况不符、内容与项目无关、内容表述错误、内容前后表述矛盾、内容与项目不匹配、项目信息错误、缺项漏项、不符合本项目涉及的相关规范或标准要求、不满足采购要求的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供货服务方案</w:t>
            </w:r>
          </w:p>
        </w:tc>
        <w:tc>
          <w:tcPr>
            <w:tcW w:type="dxa" w:w="3115"/>
          </w:tcPr>
          <w:p>
            <w:pPr>
              <w:pStyle w:val="null5"/>
              <w:jc w:val="left"/>
            </w:pPr>
            <w:r>
              <w:rPr>
                <w:rFonts w:ascii="仿宋_GB2312" w:hAnsi="仿宋_GB2312" w:cs="仿宋_GB2312" w:eastAsia="仿宋_GB2312"/>
              </w:rPr>
              <w:t>根据投标人提供的供货服务方案进行评审，包括但不限于：①供货方案；②包装及运输方案；③工作部署；④突发情况及应对方案；每缺少一项内容扣2.0分，每项中每有一处存在内容缺陷的扣0.1分，扣完为止，本项满分9.0分。注：内容缺陷是指内容逻辑混乱、内容与实际情况不符、内容与项目无关、内容表述错误、内容前后表述矛盾、内容与项目不匹配、项目信息错误、缺项漏项、不符合本项目涉及的相关规范或标准要求、不满足采购要求的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提供的培训方案进行评审，包括但不限于：①培训计划方案；②培训内容及方式③专业培训人员安排；每缺少一项内容扣3.0分，每项中每有一处存在内容缺陷的扣0.1分，扣完为止。本项满分9.0分。注：内容缺陷是指内容逻辑混乱、内容与实际情况不符、内容与项目无关、内容表述错误、内容前后表述矛盾、内容与项目不匹配、项目信息错误、缺项漏项、不符合本项目涉及的相关规范或标准要求、不满足采购要求的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根据供应商提供的售后服务方案进行评分：①售后服务整体运行方案详细得0-4分；②故障响应及时有效，维护措施方案全面、可行得0-4分；未提供不得分。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近三年（2022年1月1日至投标截止日，以合同签订时间为准）类似业绩，每有一个得2.5分，最高得10分。（须提供中标通知书和供货合同。合同复印件加盖公章，合同签章必须清晰，否则不予计分）。注：类似业绩是指机械设备相关业绩。</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