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2024年农村公益事业财政奖补项目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西乌珠穆沁旗吉仁高勒镇人民政府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内蒙古虹端项目管理有限公司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152526-NMGHD-GK-20250001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内蒙古虹端项目管理有限公司</w:t>
      </w:r>
      <w:r>
        <w:rPr>
          <w:rFonts w:ascii="仿宋_GB2312" w:hAnsi="仿宋_GB2312" w:cs="仿宋_GB2312" w:eastAsia="仿宋_GB2312"/>
        </w:rPr>
        <w:t xml:space="preserve"> 受 </w:t>
      </w:r>
      <w:r>
        <w:rPr>
          <w:rFonts w:ascii="仿宋_GB2312" w:hAnsi="仿宋_GB2312" w:cs="仿宋_GB2312" w:eastAsia="仿宋_GB2312"/>
        </w:rPr>
        <w:t>西乌珠穆沁旗吉仁高勒镇人民政府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2024年农村公益事业财政奖补项目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2024年农村公益事业财政奖补项目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152526-NMGHD-GK-20250001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西财购政采计划[2025]00100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50型号装载机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内蒙古虹端项目管理有限公司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内蒙古自治区锡林郭勒盟锡林浩特市内蒙古自治区锡林郭勒盟锡林浩特市查干街华城润泽南门底商89号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席志国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18747915949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西乌珠穆沁旗吉仁高勒镇人民政府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西乌珠穆沁旗吉仁高勒镇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额布力格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18804793300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西乌珠穆沁旗吉仁高勒镇人民政府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内蒙古虹端项目管理有限公司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购买50型号铲车两辆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吉仁高勒镇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1、到货验收合格后支付100%，达到付款条件起30日，支付合同总金额的100.00%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标的名称：50型号装载机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rPr>
              <w:t>▲</w:t>
            </w:r>
            <w:r>
              <w:rPr>
                <w:rFonts w:ascii="仿宋_GB2312" w:hAnsi="仿宋_GB2312" w:cs="仿宋_GB2312" w:eastAsia="仿宋_GB2312"/>
                <w:sz w:val="28"/>
              </w:rPr>
              <w:t>额定斗容量</w:t>
            </w:r>
            <w:r>
              <w:rPr>
                <w:rFonts w:ascii="仿宋_GB2312" w:hAnsi="仿宋_GB2312" w:cs="仿宋_GB2312" w:eastAsia="仿宋_GB2312"/>
                <w:sz w:val="28"/>
              </w:rPr>
              <w:t>m</w:t>
            </w:r>
            <w:r>
              <w:rPr>
                <w:rFonts w:ascii="仿宋_GB2312" w:hAnsi="仿宋_GB2312" w:cs="仿宋_GB2312" w:eastAsia="仿宋_GB2312"/>
                <w:sz w:val="28"/>
                <w:vertAlign w:val="superscript"/>
              </w:rPr>
              <w:t>3</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2.8</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额定载重量㎏</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5300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整机工作质量㎏</w:t>
            </w:r>
            <w:r>
              <w:rPr>
                <w:rFonts w:ascii="仿宋_GB2312" w:hAnsi="仿宋_GB2312" w:cs="仿宋_GB2312" w:eastAsia="仿宋_GB2312"/>
                <w:sz w:val="28"/>
              </w:rPr>
              <w:t>：</w:t>
            </w:r>
            <w:r>
              <w:rPr>
                <w:rFonts w:ascii="仿宋_GB2312" w:hAnsi="仿宋_GB2312" w:cs="仿宋_GB2312" w:eastAsia="仿宋_GB2312"/>
                <w:sz w:val="28"/>
              </w:rPr>
              <w:t>17100</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00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卸载高度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34</w:t>
            </w:r>
            <w:r>
              <w:rPr>
                <w:rFonts w:ascii="仿宋_GB2312" w:hAnsi="仿宋_GB2312" w:cs="仿宋_GB2312" w:eastAsia="仿宋_GB2312"/>
                <w:sz w:val="28"/>
              </w:rPr>
              <w:t>00</w:t>
            </w:r>
          </w:p>
          <w:p>
            <w:pPr>
              <w:pStyle w:val="null5"/>
              <w:jc w:val="both"/>
            </w:pPr>
            <w:r>
              <w:rPr>
                <w:rFonts w:ascii="仿宋_GB2312" w:hAnsi="仿宋_GB2312" w:cs="仿宋_GB2312" w:eastAsia="仿宋_GB2312"/>
                <w:sz w:val="28"/>
              </w:rPr>
              <w:t>卸载距离</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1180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轴距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3250</w:t>
            </w:r>
          </w:p>
          <w:p>
            <w:pPr>
              <w:pStyle w:val="null5"/>
              <w:jc w:val="both"/>
            </w:pPr>
            <w:r>
              <w:rPr>
                <w:rFonts w:ascii="仿宋_GB2312" w:hAnsi="仿宋_GB2312" w:cs="仿宋_GB2312" w:eastAsia="仿宋_GB2312"/>
                <w:sz w:val="28"/>
              </w:rPr>
              <w:t>轮距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 xml:space="preserve">2200  </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8"/>
              </w:rPr>
              <w:t>整机长度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84</w:t>
            </w:r>
            <w:r>
              <w:rPr>
                <w:rFonts w:ascii="仿宋_GB2312" w:hAnsi="仿宋_GB2312" w:cs="仿宋_GB2312" w:eastAsia="仿宋_GB2312"/>
                <w:sz w:val="28"/>
              </w:rPr>
              <w:t>0</w:t>
            </w:r>
            <w:r>
              <w:rPr>
                <w:rFonts w:ascii="仿宋_GB2312" w:hAnsi="仿宋_GB2312" w:cs="仿宋_GB2312" w:eastAsia="仿宋_GB2312"/>
                <w:sz w:val="28"/>
              </w:rPr>
              <w:t>0</w:t>
            </w:r>
          </w:p>
          <w:p>
            <w:pPr>
              <w:pStyle w:val="null5"/>
              <w:jc w:val="both"/>
            </w:pPr>
            <w:r>
              <w:rPr>
                <w:rFonts w:ascii="仿宋_GB2312" w:hAnsi="仿宋_GB2312" w:cs="仿宋_GB2312" w:eastAsia="仿宋_GB2312"/>
                <w:sz w:val="28"/>
              </w:rPr>
              <w:t>整机高度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34</w:t>
            </w:r>
            <w:r>
              <w:rPr>
                <w:rFonts w:ascii="仿宋_GB2312" w:hAnsi="仿宋_GB2312" w:cs="仿宋_GB2312" w:eastAsia="仿宋_GB2312"/>
                <w:sz w:val="28"/>
              </w:rPr>
              <w:t>50</w:t>
            </w:r>
          </w:p>
          <w:p>
            <w:pPr>
              <w:pStyle w:val="null5"/>
              <w:jc w:val="both"/>
            </w:pPr>
            <w:r>
              <w:rPr>
                <w:rFonts w:ascii="仿宋_GB2312" w:hAnsi="仿宋_GB2312" w:cs="仿宋_GB2312" w:eastAsia="仿宋_GB2312"/>
                <w:sz w:val="28"/>
              </w:rPr>
              <w:t>铲斗宽度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299</w:t>
            </w:r>
            <w:r>
              <w:rPr>
                <w:rFonts w:ascii="仿宋_GB2312" w:hAnsi="仿宋_GB2312" w:cs="仿宋_GB2312" w:eastAsia="仿宋_GB2312"/>
                <w:sz w:val="28"/>
              </w:rPr>
              <w:t>0</w:t>
            </w:r>
          </w:p>
          <w:p>
            <w:pPr>
              <w:pStyle w:val="null5"/>
              <w:jc w:val="both"/>
            </w:pPr>
            <w:r>
              <w:rPr>
                <w:rFonts w:ascii="仿宋_GB2312" w:hAnsi="仿宋_GB2312" w:cs="仿宋_GB2312" w:eastAsia="仿宋_GB2312"/>
                <w:sz w:val="28"/>
              </w:rPr>
              <w:t>最大掘起力</w:t>
            </w:r>
            <w:r>
              <w:rPr>
                <w:rFonts w:ascii="仿宋_GB2312" w:hAnsi="仿宋_GB2312" w:cs="仿宋_GB2312" w:eastAsia="仿宋_GB2312"/>
                <w:sz w:val="28"/>
              </w:rPr>
              <w:t>kN</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170</w:t>
            </w:r>
          </w:p>
          <w:p>
            <w:pPr>
              <w:pStyle w:val="null5"/>
              <w:jc w:val="both"/>
            </w:pPr>
            <w:r>
              <w:rPr>
                <w:rFonts w:ascii="仿宋_GB2312" w:hAnsi="仿宋_GB2312" w:cs="仿宋_GB2312" w:eastAsia="仿宋_GB2312"/>
                <w:sz w:val="28"/>
              </w:rPr>
              <w:t>轮胎中心（转弯半径）㎜</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6000</w:t>
            </w:r>
          </w:p>
          <w:p>
            <w:pPr>
              <w:pStyle w:val="null5"/>
              <w:jc w:val="both"/>
            </w:pPr>
            <w:r>
              <w:rPr>
                <w:rFonts w:ascii="仿宋_GB2312" w:hAnsi="仿宋_GB2312" w:cs="仿宋_GB2312" w:eastAsia="仿宋_GB2312"/>
                <w:sz w:val="28"/>
              </w:rPr>
              <w:t>最大转向角</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37</w:t>
            </w:r>
            <w:r>
              <w:rPr>
                <w:rFonts w:ascii="仿宋_GB2312" w:hAnsi="仿宋_GB2312" w:cs="仿宋_GB2312" w:eastAsia="仿宋_GB2312"/>
                <w:sz w:val="28"/>
              </w:rPr>
              <w:t>±</w:t>
            </w:r>
            <w:r>
              <w:rPr>
                <w:rFonts w:ascii="仿宋_GB2312" w:hAnsi="仿宋_GB2312" w:cs="仿宋_GB2312" w:eastAsia="仿宋_GB2312"/>
                <w:sz w:val="28"/>
              </w:rPr>
              <w:t>1</w:t>
            </w:r>
          </w:p>
          <w:p>
            <w:pPr>
              <w:pStyle w:val="null5"/>
              <w:jc w:val="both"/>
            </w:pPr>
            <w:r>
              <w:rPr>
                <w:rFonts w:ascii="仿宋_GB2312" w:hAnsi="仿宋_GB2312" w:cs="仿宋_GB2312" w:eastAsia="仿宋_GB2312"/>
                <w:sz w:val="28"/>
              </w:rPr>
              <w:t>动臂提升时间</w:t>
            </w:r>
            <w:r>
              <w:rPr>
                <w:rFonts w:ascii="仿宋_GB2312" w:hAnsi="仿宋_GB2312" w:cs="仿宋_GB2312" w:eastAsia="仿宋_GB2312"/>
                <w:sz w:val="28"/>
              </w:rPr>
              <w:t>s</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5</w:t>
            </w:r>
          </w:p>
          <w:p>
            <w:pPr>
              <w:pStyle w:val="null5"/>
              <w:jc w:val="both"/>
            </w:pPr>
            <w:r>
              <w:rPr>
                <w:rFonts w:ascii="仿宋_GB2312" w:hAnsi="仿宋_GB2312" w:cs="仿宋_GB2312" w:eastAsia="仿宋_GB2312"/>
                <w:sz w:val="28"/>
              </w:rPr>
              <w:t>三项和时间</w:t>
            </w:r>
            <w:r>
              <w:rPr>
                <w:rFonts w:ascii="仿宋_GB2312" w:hAnsi="仿宋_GB2312" w:cs="仿宋_GB2312" w:eastAsia="仿宋_GB2312"/>
                <w:sz w:val="28"/>
              </w:rPr>
              <w:t>s</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10</w:t>
            </w:r>
          </w:p>
          <w:p>
            <w:pPr>
              <w:pStyle w:val="null5"/>
              <w:jc w:val="both"/>
            </w:pPr>
            <w:r>
              <w:rPr>
                <w:rFonts w:ascii="仿宋_GB2312" w:hAnsi="仿宋_GB2312" w:cs="仿宋_GB2312" w:eastAsia="仿宋_GB2312"/>
                <w:sz w:val="28"/>
              </w:rPr>
              <w:t>发动机</w:t>
            </w:r>
            <w:r>
              <w:rPr>
                <w:rFonts w:ascii="仿宋_GB2312" w:hAnsi="仿宋_GB2312" w:cs="仿宋_GB2312" w:eastAsia="仿宋_GB2312"/>
                <w:sz w:val="28"/>
              </w:rPr>
              <w:t>：</w:t>
            </w:r>
            <w:r>
              <w:rPr>
                <w:rFonts w:ascii="仿宋_GB2312" w:hAnsi="仿宋_GB2312" w:cs="仿宋_GB2312" w:eastAsia="仿宋_GB2312"/>
                <w:sz w:val="28"/>
              </w:rPr>
              <w:t>WP10HG230E476</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额定功率</w:t>
            </w:r>
            <w:r>
              <w:rPr>
                <w:rFonts w:ascii="仿宋_GB2312" w:hAnsi="仿宋_GB2312" w:cs="仿宋_GB2312" w:eastAsia="仿宋_GB2312"/>
                <w:sz w:val="28"/>
              </w:rPr>
              <w:t>kW</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170</w:t>
            </w:r>
          </w:p>
          <w:p>
            <w:pPr>
              <w:pStyle w:val="null5"/>
              <w:jc w:val="both"/>
            </w:pPr>
            <w:r>
              <w:rPr>
                <w:rFonts w:ascii="仿宋_GB2312" w:hAnsi="仿宋_GB2312" w:cs="仿宋_GB2312" w:eastAsia="仿宋_GB2312"/>
                <w:sz w:val="28"/>
              </w:rPr>
              <w:t>额定转速</w:t>
            </w:r>
            <w:r>
              <w:rPr>
                <w:rFonts w:ascii="仿宋_GB2312" w:hAnsi="仿宋_GB2312" w:cs="仿宋_GB2312" w:eastAsia="仿宋_GB2312"/>
                <w:sz w:val="28"/>
              </w:rPr>
              <w:t>r/min</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2200</w:t>
            </w:r>
          </w:p>
          <w:p>
            <w:pPr>
              <w:pStyle w:val="null5"/>
              <w:jc w:val="both"/>
            </w:pPr>
            <w:r>
              <w:rPr>
                <w:rFonts w:ascii="仿宋_GB2312" w:hAnsi="仿宋_GB2312" w:cs="仿宋_GB2312" w:eastAsia="仿宋_GB2312"/>
                <w:sz w:val="28"/>
              </w:rPr>
              <w:t>排量：</w:t>
            </w:r>
            <w:r>
              <w:rPr>
                <w:rFonts w:ascii="仿宋_GB2312" w:hAnsi="仿宋_GB2312" w:cs="仿宋_GB2312" w:eastAsia="仿宋_GB2312"/>
                <w:sz w:val="28"/>
              </w:rPr>
              <w:t>≥</w:t>
            </w:r>
            <w:r>
              <w:rPr>
                <w:rFonts w:ascii="仿宋_GB2312" w:hAnsi="仿宋_GB2312" w:cs="仿宋_GB2312" w:eastAsia="仿宋_GB2312"/>
                <w:sz w:val="28"/>
              </w:rPr>
              <w:t>9.5L</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排放标准：非道路国四</w:t>
            </w:r>
          </w:p>
          <w:p>
            <w:pPr>
              <w:pStyle w:val="null5"/>
              <w:jc w:val="both"/>
            </w:pPr>
            <w:r>
              <w:rPr>
                <w:rFonts w:ascii="仿宋_GB2312" w:hAnsi="仿宋_GB2312" w:cs="仿宋_GB2312" w:eastAsia="仿宋_GB2312"/>
                <w:sz w:val="28"/>
              </w:rPr>
              <w:t>轮胎型号</w:t>
            </w:r>
            <w:r>
              <w:rPr>
                <w:rFonts w:ascii="仿宋_GB2312" w:hAnsi="仿宋_GB2312" w:cs="仿宋_GB2312" w:eastAsia="仿宋_GB2312"/>
                <w:sz w:val="28"/>
              </w:rPr>
              <w:t>：</w:t>
            </w:r>
            <w:r>
              <w:rPr>
                <w:rFonts w:ascii="仿宋_GB2312" w:hAnsi="仿宋_GB2312" w:cs="仿宋_GB2312" w:eastAsia="仿宋_GB2312"/>
                <w:sz w:val="28"/>
              </w:rPr>
              <w:t>23.5-25</w:t>
            </w:r>
          </w:p>
          <w:p>
            <w:pPr>
              <w:pStyle w:val="null5"/>
              <w:jc w:val="both"/>
            </w:pPr>
            <w:r>
              <w:rPr>
                <w:rFonts w:ascii="仿宋_GB2312" w:hAnsi="仿宋_GB2312" w:cs="仿宋_GB2312" w:eastAsia="仿宋_GB2312"/>
                <w:sz w:val="28"/>
              </w:rPr>
              <w:t>桥：干式桥</w:t>
            </w:r>
          </w:p>
          <w:p>
            <w:pPr>
              <w:pStyle w:val="null5"/>
              <w:jc w:val="both"/>
            </w:pPr>
            <w:r>
              <w:rPr>
                <w:rFonts w:ascii="仿宋_GB2312" w:hAnsi="仿宋_GB2312" w:cs="仿宋_GB2312" w:eastAsia="仿宋_GB2312"/>
                <w:sz w:val="28"/>
              </w:rPr>
              <w:t>操作方式：机械软轴</w:t>
            </w:r>
          </w:p>
          <w:p>
            <w:pPr>
              <w:pStyle w:val="null5"/>
              <w:jc w:val="both"/>
            </w:pPr>
            <w:r>
              <w:rPr>
                <w:rFonts w:ascii="仿宋_GB2312" w:hAnsi="仿宋_GB2312" w:cs="仿宋_GB2312" w:eastAsia="仿宋_GB2312"/>
                <w:sz w:val="28"/>
              </w:rPr>
              <w:t>行车制动：气顶油、钳盘式四轮制动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全部满足招标文件技术要求的得20分，其中标“▲”参数为重要参数，每有一项负偏离或不满足扣1分，其他参数为一般参数，每有一项负偏离或不满足扣0.5分。（注：技术参数需提供检测报告或技术白皮书或宣传彩页等相关技术资料扫描件证明文件，证明文件中需详细体现该项参数，未体现的视为该项参数不满足技术要求）。</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产品的特性</w:t>
            </w:r>
          </w:p>
        </w:tc>
        <w:tc>
          <w:tcPr>
            <w:tcW w:type="dxa" w:w="3115"/>
          </w:tcPr>
          <w:p>
            <w:pPr>
              <w:pStyle w:val="null5"/>
              <w:jc w:val="left"/>
            </w:pPr>
            <w:r>
              <w:rPr>
                <w:rFonts w:ascii="仿宋_GB2312" w:hAnsi="仿宋_GB2312" w:cs="仿宋_GB2312" w:eastAsia="仿宋_GB2312"/>
              </w:rPr>
              <w:t>投标产品整体质量、性能状况，标准，根据投标产品的整体稳定性、功能性与技术水平、一致性进行综合评价，评价全面、合理、详细的得5-3分，不全面、不详细的得2-1分，差或不提供的不得分。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提供的质量保障措施进行评审，包括但不限于：①整体质量状况；②质量控制措施；③产品质量检验及验收方案；④使用的科学性及安全性；每缺少一项内容扣2.0分，每项中每有一处存在内容缺陷的扣0.1分，扣完为止。本项满分9.0分。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供货服务方案</w:t>
            </w:r>
          </w:p>
        </w:tc>
        <w:tc>
          <w:tcPr>
            <w:tcW w:type="dxa" w:w="3115"/>
          </w:tcPr>
          <w:p>
            <w:pPr>
              <w:pStyle w:val="null5"/>
              <w:jc w:val="left"/>
            </w:pPr>
            <w:r>
              <w:rPr>
                <w:rFonts w:ascii="仿宋_GB2312" w:hAnsi="仿宋_GB2312" w:cs="仿宋_GB2312" w:eastAsia="仿宋_GB2312"/>
              </w:rPr>
              <w:t>根据投标人提供的供货服务方案进行评审，包括但不限于：①供货方案；②包装及运输方案；③工作部署；④突发情况及应对方案；每缺少一项内容扣2.0分，每项中每有一处存在内容缺陷的扣0.1分，扣完为止，本项满分9.0分。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审，包括但不限于：①培训计划方案；②培训内容及方式③专业培训人员安排；每缺少一项内容扣3.0分，每项中每有一处存在内容缺陷的扣0.1分，扣完为止。本项满分9.0分。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根据供应商提供的售后服务方案进行评分：①售后服务整体运行方案详细得0-4分；②故障响应及时有效，维护措施方案全面、可行得0-4分；未提供不得分。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2022年1月1日至投标截止日，以合同签订时间为准）类似供货业绩，每有一个得2.5分，最高得10分。（须提供中标通知书和供货合同。合同复印件加盖公章，合同签章必须清晰，可明确体现销售内容、数量，否则不予计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