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巴彦花镇2024年农村牧区公益事业财政奖补项目（第一批）</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西乌珠穆沁旗巴彦花镇人民政府</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内蒙古东芳视界工程项目管理有限公司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152526-DFSJ-GK-20250001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内蒙古东芳视界工程项目管理有限公司</w:t>
      </w:r>
      <w:r>
        <w:rPr>
          <w:rFonts w:ascii="仿宋_GB2312" w:hAnsi="仿宋_GB2312" w:cs="仿宋_GB2312" w:eastAsia="仿宋_GB2312"/>
        </w:rPr>
        <w:t xml:space="preserve"> 受 </w:t>
      </w:r>
      <w:r>
        <w:rPr>
          <w:rFonts w:ascii="仿宋_GB2312" w:hAnsi="仿宋_GB2312" w:cs="仿宋_GB2312" w:eastAsia="仿宋_GB2312"/>
        </w:rPr>
        <w:t>西乌珠穆沁旗巴彦花镇人民政府</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巴彦花镇2024年农村牧区公益事业财政奖补项目（第一批）</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巴彦花镇2024年农村牧区公益事业财政奖补项目（第一批）</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152526-DFSJ-GK-20250001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西财购政采计划[2025]00130</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装载机</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800,000.00</w:t>
            </w:r>
          </w:p>
        </w:tc>
        <w:tc>
          <w:tcPr>
            <w:tcW w:type="dxa" w:w="831"/>
          </w:tcPr>
          <w:p>
            <w:pPr>
              <w:pStyle w:val="null5"/>
              <w:jc w:val="left"/>
            </w:pPr>
            <w:r>
              <w:rPr>
                <w:rFonts w:ascii="仿宋_GB2312" w:hAnsi="仿宋_GB2312" w:cs="仿宋_GB2312" w:eastAsia="仿宋_GB2312"/>
              </w:rPr>
              <w:t>辆</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内蒙古东芳视界工程项目管理有限公司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内蒙古自治区锡林郭勒盟锡林浩特市锡林浩特大酒店商务楼一楼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谢冉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18648098888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西乌珠穆沁旗巴彦花镇人民政府</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西乌珠穆沁旗巴彦花镇所在地</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苏德毕力格</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18247983555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代理服务费用收取对象：采购人</w:t>
            </w:r>
          </w:p>
          <w:p>
            <w:pPr>
              <w:pStyle w:val="null5"/>
              <w:jc w:val="left"/>
            </w:pPr>
            <w:r>
              <w:rPr>
                <w:rFonts w:ascii="仿宋_GB2312" w:hAnsi="仿宋_GB2312" w:cs="仿宋_GB2312" w:eastAsia="仿宋_GB2312"/>
              </w:rPr>
              <w:t>代理服务费收费标准：参照《内蒙古自治区建设工程招标代理服务收费指导意见》内工建协(2022)34号文件收取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西乌珠穆沁旗巴彦花镇人民政府</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内蒙古东芳视界工程项目管理有限公司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供应商在投标(响应)时,按照锡林郭勒盟财政局关于印发《锡林郭勒盟政府采购“双向承诺+ 信用管理”工作方案》的通知(锡财综〔2024〕455号)文件规定,提供《锡林郭勒盟政府 采购供应商信用承诺函》(格式详见公告附件),无需提交证明材料。采购人有权在签订合 同前要求中标(成交)供应商提供相关证明材料以核实中标(成交)供应商承诺事项的真实 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巴彦花镇2024年农村牧区公益事业财政奖补项目（第一批）</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按照合同约定进行</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1、合同签订后，达到付款条件起30日，支付合同总金额的60.00%</w:t>
            </w:r>
          </w:p>
          <w:p>
            <w:pPr>
              <w:pStyle w:val="null5"/>
              <w:jc w:val="left"/>
            </w:pPr>
            <w:r>
              <w:rPr>
                <w:rFonts w:ascii="仿宋_GB2312" w:hAnsi="仿宋_GB2312" w:cs="仿宋_GB2312" w:eastAsia="仿宋_GB2312"/>
              </w:rPr>
              <w:t>2、验收成功后，达到付款条件起30日，支付合同总金额的40.00%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标的名称：装载机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形式：轮式装载机</w:t>
            </w:r>
            <w:r>
              <w:br/>
            </w:r>
            <w:r>
              <w:rPr>
                <w:rFonts w:ascii="仿宋_GB2312" w:hAnsi="仿宋_GB2312" w:cs="仿宋_GB2312" w:eastAsia="仿宋_GB2312"/>
              </w:rPr>
              <w:t xml:space="preserve"> 工况用途：通用型</w:t>
            </w:r>
            <w:r>
              <w:br/>
            </w:r>
            <w:r>
              <w:rPr>
                <w:rFonts w:ascii="仿宋_GB2312" w:hAnsi="仿宋_GB2312" w:cs="仿宋_GB2312" w:eastAsia="仿宋_GB2312"/>
              </w:rPr>
              <w:t xml:space="preserve"> 行走方式：轮胎式</w:t>
            </w:r>
            <w:r>
              <w:br/>
            </w:r>
            <w:r>
              <w:rPr>
                <w:rFonts w:ascii="仿宋_GB2312" w:hAnsi="仿宋_GB2312" w:cs="仿宋_GB2312" w:eastAsia="仿宋_GB2312"/>
              </w:rPr>
              <w:t xml:space="preserve"> 总质量：≥16000 kg</w:t>
            </w:r>
            <w:r>
              <w:br/>
            </w:r>
            <w:r>
              <w:rPr>
                <w:rFonts w:ascii="仿宋_GB2312" w:hAnsi="仿宋_GB2312" w:cs="仿宋_GB2312" w:eastAsia="仿宋_GB2312"/>
              </w:rPr>
              <w:t xml:space="preserve"> 气缸数：6</w:t>
            </w:r>
            <w:r>
              <w:br/>
            </w:r>
            <w:r>
              <w:rPr>
                <w:rFonts w:ascii="仿宋_GB2312" w:hAnsi="仿宋_GB2312" w:cs="仿宋_GB2312" w:eastAsia="仿宋_GB2312"/>
              </w:rPr>
              <w:t xml:space="preserve"> 额定载荷：≥ 5000 kg</w:t>
            </w:r>
            <w:r>
              <w:br/>
            </w:r>
            <w:r>
              <w:rPr>
                <w:rFonts w:ascii="仿宋_GB2312" w:hAnsi="仿宋_GB2312" w:cs="仿宋_GB2312" w:eastAsia="仿宋_GB2312"/>
              </w:rPr>
              <w:t xml:space="preserve"> 斗容量 ：≥2.7m³</w:t>
            </w:r>
            <w:r>
              <w:br/>
            </w:r>
            <w:r>
              <w:rPr>
                <w:rFonts w:ascii="仿宋_GB2312" w:hAnsi="仿宋_GB2312" w:cs="仿宋_GB2312" w:eastAsia="仿宋_GB2312"/>
              </w:rPr>
              <w:t xml:space="preserve"> 卸载距离：≥1000 mm</w:t>
            </w:r>
            <w:r>
              <w:br/>
            </w:r>
            <w:r>
              <w:rPr>
                <w:rFonts w:ascii="仿宋_GB2312" w:hAnsi="仿宋_GB2312" w:cs="仿宋_GB2312" w:eastAsia="仿宋_GB2312"/>
              </w:rPr>
              <w:t xml:space="preserve"> 轴距 ：≥3000 mm</w:t>
            </w:r>
            <w:r>
              <w:br/>
            </w:r>
            <w:r>
              <w:rPr>
                <w:rFonts w:ascii="仿宋_GB2312" w:hAnsi="仿宋_GB2312" w:cs="仿宋_GB2312" w:eastAsia="仿宋_GB2312"/>
              </w:rPr>
              <w:t xml:space="preserve"> 轮距 ：≥2000 mm</w:t>
            </w:r>
            <w:r>
              <w:br/>
            </w:r>
            <w:r>
              <w:rPr>
                <w:rFonts w:ascii="仿宋_GB2312" w:hAnsi="仿宋_GB2312" w:cs="仿宋_GB2312" w:eastAsia="仿宋_GB2312"/>
              </w:rPr>
              <w:t xml:space="preserve"> 最大崛起力 ：≥170kN</w:t>
            </w:r>
            <w:r>
              <w:br/>
            </w:r>
            <w:r>
              <w:rPr>
                <w:rFonts w:ascii="仿宋_GB2312" w:hAnsi="仿宋_GB2312" w:cs="仿宋_GB2312" w:eastAsia="仿宋_GB2312"/>
              </w:rPr>
              <w:t xml:space="preserve"> 最大牵引力： ≥160kN</w:t>
            </w:r>
            <w:r>
              <w:br/>
            </w:r>
            <w:r>
              <w:rPr>
                <w:rFonts w:ascii="仿宋_GB2312" w:hAnsi="仿宋_GB2312" w:cs="仿宋_GB2312" w:eastAsia="仿宋_GB2312"/>
              </w:rPr>
              <w:t xml:space="preserve"> 额定功率： ≥168kW</w:t>
            </w:r>
            <w:r>
              <w:br/>
            </w:r>
            <w:r>
              <w:rPr>
                <w:rFonts w:ascii="仿宋_GB2312" w:hAnsi="仿宋_GB2312" w:cs="仿宋_GB2312" w:eastAsia="仿宋_GB2312"/>
              </w:rPr>
              <w:t xml:space="preserve"> 额定转速：≥2000r/min</w:t>
            </w:r>
            <w:r>
              <w:br/>
            </w:r>
            <w:r>
              <w:rPr>
                <w:rFonts w:ascii="仿宋_GB2312" w:hAnsi="仿宋_GB2312" w:cs="仿宋_GB2312" w:eastAsia="仿宋_GB2312"/>
              </w:rPr>
              <w:t xml:space="preserve"> 排放标准 ：国四</w:t>
            </w:r>
            <w:r>
              <w:br/>
            </w:r>
            <w:r>
              <w:rPr>
                <w:rFonts w:ascii="仿宋_GB2312" w:hAnsi="仿宋_GB2312" w:cs="仿宋_GB2312" w:eastAsia="仿宋_GB2312"/>
              </w:rPr>
              <w:t xml:space="preserve"> 柴油箱容量： ≥300 L</w:t>
            </w:r>
            <w:r>
              <w:br/>
            </w:r>
            <w:r>
              <w:rPr>
                <w:rFonts w:ascii="仿宋_GB2312" w:hAnsi="仿宋_GB2312" w:cs="仿宋_GB2312" w:eastAsia="仿宋_GB2312"/>
              </w:rPr>
              <w:t xml:space="preserve"> 爬坡能力 ：≥28</w:t>
            </w:r>
            <w:r>
              <w:br/>
            </w:r>
            <w:r>
              <w:rPr>
                <w:rFonts w:ascii="仿宋_GB2312" w:hAnsi="仿宋_GB2312" w:cs="仿宋_GB2312" w:eastAsia="仿宋_GB2312"/>
              </w:rPr>
              <w:t xml:space="preserve"> 卸料时间：≥1.4s</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w:t>
            </w:r>
          </w:p>
        </w:tc>
        <w:tc>
          <w:tcPr>
            <w:tcW w:type="dxa" w:w="3115"/>
          </w:tcPr>
          <w:p>
            <w:pPr>
              <w:pStyle w:val="null5"/>
              <w:jc w:val="left"/>
            </w:pPr>
            <w:r>
              <w:rPr>
                <w:rFonts w:ascii="仿宋_GB2312" w:hAnsi="仿宋_GB2312" w:cs="仿宋_GB2312" w:eastAsia="仿宋_GB2312"/>
              </w:rPr>
              <w:t>投标产品的技术参数满足采购文件要求的得10分,有一项不满足扣1分, 扣完为止。注:为防止误评或漏评,供应商需在其技术规格响应表中写明相 应的技术佐证材料的名称、页码、用于佐证第几条并在佐证材料上使用下 划线、文本框等方式加以明显标记。(未明确具体佐证材料类型的,应提 供包括但不限于技术白皮书、宣传彩页、等),未提供佐证材料的评标委 员会有理由认为该指标参数不满足招标文件要求的技术参数指标 。</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根据采购文件要求和供应商技术响应情况,对供应商提供的项目实施方案 进行评价,包括:(1)应急保障措施(2)设备维护保养方案(3)投标产品 整体的质量性能情况(包括选材用料、产品可靠性、稳定性)。供应商对 上述三项内容进行阐述,满足实际采购需求的得7-10分,基本满足的得4- 6分,不满足的得0-3分。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供货方案措施详细具体,可行性操作性高,进度控制的各项规章制度完整 科学,得7-10 分; 供货方案措施详细具体但存在改进空间,可行性操作 性满足项目需要,进度控制的各项规章制度基本具备,得 4-6 分; 供货方 案措施较详细但在供货、移交环节存在不足,有较大幅度改进空间,但可 行性操作性基本满足项目需要,进度控制的各项规章制度基本具备,得0- 3分。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货物的包装、发运、验收方案</w:t>
            </w:r>
          </w:p>
        </w:tc>
        <w:tc>
          <w:tcPr>
            <w:tcW w:type="dxa" w:w="3115"/>
          </w:tcPr>
          <w:p>
            <w:pPr>
              <w:pStyle w:val="null5"/>
              <w:jc w:val="left"/>
            </w:pPr>
            <w:r>
              <w:rPr>
                <w:rFonts w:ascii="仿宋_GB2312" w:hAnsi="仿宋_GB2312" w:cs="仿宋_GB2312" w:eastAsia="仿宋_GB2312"/>
              </w:rPr>
              <w:t>根据货物的包装、发运、验收方案(包括:货物包装方法、发运、验收方式)全面、合理、切实可行的得7-10分;贴合本项目实际情况但不详尽或 合理相差的得3-6分;未贴合本项目实际情况或不详尽、合理性差的得0-2 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根据供应商培训方案;培训时间、培训地点、人员安排进行评审。 培训方 案、培训时间、培训地点、人员安排描述内容详尽齐全、逻辑合理并符合 项目实际要求的,得5-10分;若有内容不详尽不齐全、逻辑不合理,不符 合项目实际要求的,得1-4分;不提供不得分。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售后服务方案和承诺</w:t>
            </w:r>
          </w:p>
        </w:tc>
        <w:tc>
          <w:tcPr>
            <w:tcW w:type="dxa" w:w="3115"/>
          </w:tcPr>
          <w:p>
            <w:pPr>
              <w:pStyle w:val="null5"/>
              <w:jc w:val="left"/>
            </w:pPr>
            <w:r>
              <w:rPr>
                <w:rFonts w:ascii="仿宋_GB2312" w:hAnsi="仿宋_GB2312" w:cs="仿宋_GB2312" w:eastAsia="仿宋_GB2312"/>
              </w:rPr>
              <w:t>1.有详细、周到的服务方案及响应机制;售后服务承诺详尽得7-10分。2. 服务方案粗略,没有明确、科学的响应机制,售后服务承诺简洁、不明确 的得3-6分。 3.无服务方案、无售后服务承诺的得0-2分。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2021年至今完成的与本项目采购内容类似的业绩,提供一份得2.5分,最 多得10分。需提供佐证文件,合同或中标通知书,不提供不得分。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