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巴彦花镇2024年农村牧区公益事业财政奖补项目（第一批）</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西乌珠穆沁旗巴彦花镇人民政府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内蒙古东芳视界工程项目管理有限公司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152526-DFSJ-GK-20250001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内蒙古东芳视界工程项目管理有限公司</w:t>
      </w:r>
      <w:r>
        <w:rPr>
          <w:rFonts w:ascii="仿宋_GB2312" w:hAnsi="仿宋_GB2312" w:cs="仿宋_GB2312" w:eastAsia="仿宋_GB2312"/>
        </w:rPr>
        <w:t xml:space="preserve"> 受 </w:t>
      </w:r>
      <w:r>
        <w:rPr>
          <w:rFonts w:ascii="仿宋_GB2312" w:hAnsi="仿宋_GB2312" w:cs="仿宋_GB2312" w:eastAsia="仿宋_GB2312"/>
        </w:rPr>
        <w:t>西乌珠穆沁旗巴彦花镇人民政府</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巴彦花镇2024年农村牧区公益事业财政奖补项目（第一批）</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巴彦花镇2024年农村牧区公益事业财政奖补项目（第一批）</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152526-DFSJ-GK-20250001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西财购政采计划[2025]00130</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装载机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800,000.00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内蒙古东芳视界工程项目管理有限公司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内蒙古自治区锡林郭勒盟锡林浩特市锡林浩特大酒店商务楼一楼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谢冉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18648098888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西乌珠穆沁旗巴彦花镇人民政府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西乌珠穆沁旗巴彦花镇所在地</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苏德毕力格</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18247983555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代理服务费收费标准：参照《内蒙古自治区建设工程招标代理服务收费指导意见》内工建协(2022)34号文件收取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西乌珠穆沁旗巴彦花镇人民政府</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内蒙古东芳视界工程项目管理有限公司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巴彦花镇2024年农村牧区公益事业财政奖补项目（第一批）</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按照合同约定进行</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按照合同约定进行</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1、合同签订后，达到付款条件起30日，支付合同总金额的60.00%</w:t>
            </w:r>
          </w:p>
          <w:p>
            <w:pPr>
              <w:pStyle w:val="null5"/>
              <w:jc w:val="left"/>
            </w:pPr>
            <w:r>
              <w:rPr>
                <w:rFonts w:ascii="仿宋_GB2312" w:hAnsi="仿宋_GB2312" w:cs="仿宋_GB2312" w:eastAsia="仿宋_GB2312"/>
              </w:rPr>
              <w:t>2、验收成功后，达到付款条件起30日，支付合同总金额的40.00%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标的名称：装载机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形式：轮式装载机</w:t>
            </w:r>
          </w:p>
          <w:p>
            <w:pPr>
              <w:pStyle w:val="null5"/>
              <w:jc w:val="left"/>
            </w:pPr>
            <w:r>
              <w:rPr>
                <w:rFonts w:ascii="仿宋_GB2312" w:hAnsi="仿宋_GB2312" w:cs="仿宋_GB2312" w:eastAsia="仿宋_GB2312"/>
              </w:rPr>
              <w:t>发动机形式：电控高压共轨</w:t>
            </w:r>
            <w:r>
              <w:br/>
            </w:r>
            <w:r>
              <w:rPr>
                <w:rFonts w:ascii="仿宋_GB2312" w:hAnsi="仿宋_GB2312" w:cs="仿宋_GB2312" w:eastAsia="仿宋_GB2312"/>
              </w:rPr>
              <w:t xml:space="preserve"> 工况用途：通用型</w:t>
            </w:r>
            <w:r>
              <w:br/>
            </w:r>
            <w:r>
              <w:rPr>
                <w:rFonts w:ascii="仿宋_GB2312" w:hAnsi="仿宋_GB2312" w:cs="仿宋_GB2312" w:eastAsia="仿宋_GB2312"/>
              </w:rPr>
              <w:t xml:space="preserve"> 行走方式：轮胎式</w:t>
            </w:r>
            <w:r>
              <w:br/>
            </w:r>
            <w:r>
              <w:rPr>
                <w:rFonts w:ascii="仿宋_GB2312" w:hAnsi="仿宋_GB2312" w:cs="仿宋_GB2312" w:eastAsia="仿宋_GB2312"/>
              </w:rPr>
              <w:t xml:space="preserve"> 总质量：≥16000 kg</w:t>
            </w:r>
            <w:r>
              <w:br/>
            </w:r>
            <w:r>
              <w:rPr>
                <w:rFonts w:ascii="仿宋_GB2312" w:hAnsi="仿宋_GB2312" w:cs="仿宋_GB2312" w:eastAsia="仿宋_GB2312"/>
              </w:rPr>
              <w:t xml:space="preserve"> 气缸数（直列）：6</w:t>
            </w:r>
            <w:r>
              <w:br/>
            </w:r>
            <w:r>
              <w:rPr>
                <w:rFonts w:ascii="仿宋_GB2312" w:hAnsi="仿宋_GB2312" w:cs="仿宋_GB2312" w:eastAsia="仿宋_GB2312"/>
              </w:rPr>
              <w:t xml:space="preserve"> 额定载荷：≥ 5000 kg</w:t>
            </w:r>
            <w:r>
              <w:br/>
            </w:r>
            <w:r>
              <w:rPr>
                <w:rFonts w:ascii="仿宋_GB2312" w:hAnsi="仿宋_GB2312" w:cs="仿宋_GB2312" w:eastAsia="仿宋_GB2312"/>
              </w:rPr>
              <w:t xml:space="preserve"> 斗容量 ：≥3m³</w:t>
            </w:r>
            <w:r>
              <w:br/>
            </w:r>
            <w:r>
              <w:rPr>
                <w:rFonts w:ascii="仿宋_GB2312" w:hAnsi="仿宋_GB2312" w:cs="仿宋_GB2312" w:eastAsia="仿宋_GB2312"/>
              </w:rPr>
              <w:t xml:space="preserve"> 卸载距离：≥1000 mm</w:t>
            </w:r>
            <w:r>
              <w:br/>
            </w:r>
            <w:r>
              <w:rPr>
                <w:rFonts w:ascii="仿宋_GB2312" w:hAnsi="仿宋_GB2312" w:cs="仿宋_GB2312" w:eastAsia="仿宋_GB2312"/>
              </w:rPr>
              <w:t xml:space="preserve"> 轴距 ：≥3000 mm</w:t>
            </w:r>
            <w:r>
              <w:br/>
            </w:r>
            <w:r>
              <w:rPr>
                <w:rFonts w:ascii="仿宋_GB2312" w:hAnsi="仿宋_GB2312" w:cs="仿宋_GB2312" w:eastAsia="仿宋_GB2312"/>
              </w:rPr>
              <w:t xml:space="preserve"> 轮距 ：≥2000 mm</w:t>
            </w:r>
            <w:r>
              <w:br/>
            </w:r>
            <w:r>
              <w:rPr>
                <w:rFonts w:ascii="仿宋_GB2312" w:hAnsi="仿宋_GB2312" w:cs="仿宋_GB2312" w:eastAsia="仿宋_GB2312"/>
              </w:rPr>
              <w:t xml:space="preserve"> 最大崛起力 ：≥170kN</w:t>
            </w:r>
            <w:r>
              <w:br/>
            </w:r>
            <w:r>
              <w:rPr>
                <w:rFonts w:ascii="仿宋_GB2312" w:hAnsi="仿宋_GB2312" w:cs="仿宋_GB2312" w:eastAsia="仿宋_GB2312"/>
              </w:rPr>
              <w:t xml:space="preserve"> 最大牵引力： ≥160kN</w:t>
            </w:r>
            <w:r>
              <w:br/>
            </w:r>
            <w:r>
              <w:rPr>
                <w:rFonts w:ascii="仿宋_GB2312" w:hAnsi="仿宋_GB2312" w:cs="仿宋_GB2312" w:eastAsia="仿宋_GB2312"/>
              </w:rPr>
              <w:t xml:space="preserve"> 额定功率： ≥168kW</w:t>
            </w:r>
            <w:r>
              <w:br/>
            </w:r>
            <w:r>
              <w:rPr>
                <w:rFonts w:ascii="仿宋_GB2312" w:hAnsi="仿宋_GB2312" w:cs="仿宋_GB2312" w:eastAsia="仿宋_GB2312"/>
              </w:rPr>
              <w:t xml:space="preserve"> 额定转速：≥2000r/min</w:t>
            </w:r>
            <w:r>
              <w:br/>
            </w:r>
            <w:r>
              <w:rPr>
                <w:rFonts w:ascii="仿宋_GB2312" w:hAnsi="仿宋_GB2312" w:cs="仿宋_GB2312" w:eastAsia="仿宋_GB2312"/>
              </w:rPr>
              <w:t xml:space="preserve"> 排放标准 ：国四</w:t>
            </w:r>
            <w:r>
              <w:br/>
            </w:r>
            <w:r>
              <w:rPr>
                <w:rFonts w:ascii="仿宋_GB2312" w:hAnsi="仿宋_GB2312" w:cs="仿宋_GB2312" w:eastAsia="仿宋_GB2312"/>
              </w:rPr>
              <w:t xml:space="preserve"> 柴油箱容量： ≥300 L</w:t>
            </w:r>
            <w:r>
              <w:br/>
            </w:r>
            <w:r>
              <w:rPr>
                <w:rFonts w:ascii="仿宋_GB2312" w:hAnsi="仿宋_GB2312" w:cs="仿宋_GB2312" w:eastAsia="仿宋_GB2312"/>
              </w:rPr>
              <w:t xml:space="preserve"> 爬坡能力 ：≥28</w:t>
            </w:r>
            <w:r>
              <w:br/>
            </w:r>
            <w:r>
              <w:rPr>
                <w:rFonts w:ascii="仿宋_GB2312" w:hAnsi="仿宋_GB2312" w:cs="仿宋_GB2312" w:eastAsia="仿宋_GB2312"/>
              </w:rPr>
              <w:t xml:space="preserve"> 卸料时间：≥1.4s</w:t>
            </w:r>
          </w:p>
          <w:p>
            <w:pPr>
              <w:pStyle w:val="null5"/>
              <w:jc w:val="left"/>
            </w:pPr>
            <w:r>
              <w:rPr>
                <w:rFonts w:ascii="仿宋_GB2312" w:hAnsi="仿宋_GB2312" w:cs="仿宋_GB2312" w:eastAsia="仿宋_GB2312"/>
              </w:rPr>
              <w:t>空调（制冷制热）：≥5000W</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投标产品的技术参数满足采购文件要求的得10分,有一项不满足扣1分, 扣完为止。注:为防止误评或漏评,供应商需在其技术规格响应表中写明相 应的技术佐证材料的名称、页码、用于佐证第几条并在佐证材料上使用下 划线、文本框等方式加以明显标记。(未明确具体佐证材料类型的,应提 供包括但不限于技术白皮书、宣传彩页、等),未提供佐证材料的评标委 员会有理由认为该指标参数不满足招标文件要求的技术参数指标 。</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根据采购文件要求和供应商技术响应情况,对供应商提供的项目实施方案 进行评价,包括:(1)应急保障措施(2)设备维护保养方案(3)投标产品 整体的质量性能情况(包括选材用料、产品可靠性、稳定性)。供应商对 上述三项内容进行阐述,满足实际采购需求的得7-10分,基本满足的得4- 6分,不满足的得0-3分。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供货方案措施详细具体,可行性操作性高,进度控制的各项规章制度完整 科学,得7-10 分; 供货方案措施详细具体但存在改进空间,可行性操作 性满足项目需要,进度控制的各项规章制度基本具备,得 4-6 分; 供货方 案措施较详细但在供货、移交环节存在不足,有较大幅度改进空间,但可 行性操作性基本满足项目需要,进度控制的各项规章制度基本具备,得0- 3分。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货物的包装、发运、验收方案</w:t>
            </w:r>
          </w:p>
        </w:tc>
        <w:tc>
          <w:tcPr>
            <w:tcW w:type="dxa" w:w="3115"/>
          </w:tcPr>
          <w:p>
            <w:pPr>
              <w:pStyle w:val="null5"/>
              <w:jc w:val="left"/>
            </w:pPr>
            <w:r>
              <w:rPr>
                <w:rFonts w:ascii="仿宋_GB2312" w:hAnsi="仿宋_GB2312" w:cs="仿宋_GB2312" w:eastAsia="仿宋_GB2312"/>
              </w:rPr>
              <w:t>根据货物的包装、发运、验收方案(包括:货物包装方法、发运、验收方式)全面、合理、切实可行的得7-10分;贴合本项目实际情况但不详尽或 合理相差的得3-6分;未贴合本项目实际情况或不详尽、合理性差的得0-2 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根据供应商培训方案;培训时间、培训地点、人员安排进行评审。 培训方 案、培训时间、培训地点、人员安排描述内容详尽齐全、逻辑合理并符合 项目实际要求的,得5-10分;若有内容不详尽不齐全、逻辑不合理,不符 合项目实际要求的,得1-4分;不提供不得分。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售后服务方案和承诺</w:t>
            </w:r>
          </w:p>
        </w:tc>
        <w:tc>
          <w:tcPr>
            <w:tcW w:type="dxa" w:w="3115"/>
          </w:tcPr>
          <w:p>
            <w:pPr>
              <w:pStyle w:val="null5"/>
              <w:jc w:val="left"/>
            </w:pPr>
            <w:r>
              <w:rPr>
                <w:rFonts w:ascii="仿宋_GB2312" w:hAnsi="仿宋_GB2312" w:cs="仿宋_GB2312" w:eastAsia="仿宋_GB2312"/>
              </w:rPr>
              <w:t>1.有详细、周到的服务方案及响应机制;售后服务承诺详尽得7-10分。2. 服务方案粗略,没有明确、科学的响应机制,售后服务承诺简洁、不明确 的得3-6分。 3.无服务方案、无售后服务承诺的得0-2分。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2021年至今完成的与本项目采购内容类似的业绩,提供一份得2.5分,最 多得10分。需提供佐证文件,合同或中标通知书,不提供不得分。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