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内蒙古锡林郭勒盟西乌珠穆沁旗达青检查通道建设项目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西乌珠穆沁旗公安局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丰汇国际项目管理有限公司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152526-FHGJ-CS-20250001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丰汇国际项目管理有限公司</w:t>
      </w:r>
      <w:r>
        <w:rPr>
          <w:rFonts w:ascii="仿宋_GB2312" w:hAnsi="仿宋_GB2312" w:cs="仿宋_GB2312" w:eastAsia="仿宋_GB2312"/>
        </w:rPr>
        <w:t xml:space="preserve"> 受 </w:t>
      </w:r>
      <w:r>
        <w:rPr>
          <w:rFonts w:ascii="仿宋_GB2312" w:hAnsi="仿宋_GB2312" w:cs="仿宋_GB2312" w:eastAsia="仿宋_GB2312"/>
        </w:rPr>
        <w:t>西乌珠穆沁旗公安局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内蒙古锡林郭勒盟西乌珠穆沁旗达青检查通道建设项目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内蒙古锡林郭勒盟西乌珠穆沁旗达青检查通道建设项目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152526-FHGJ-CS-20250001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西财购政采计划[2025]00148</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924,671.00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西乌珠穆沁旗达青检查通道建设项目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924,671.00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1、资质要求：供应商须具有建设行政主管部门核发的建筑工程施工总承包三级及以上资质，证书在有效期内；供应商须具有有效期内的建设行政主管部门核发的安全生产许可证</w:t>
      </w:r>
    </w:p>
    <w:p>
      <w:pPr>
        <w:pStyle w:val="null5"/>
        <w:jc w:val="left"/>
      </w:pPr>
      <w:r>
        <w:rPr>
          <w:rFonts w:ascii="仿宋_GB2312" w:hAnsi="仿宋_GB2312" w:cs="仿宋_GB2312" w:eastAsia="仿宋_GB2312"/>
        </w:rPr>
        <w:t>2、项目经理要求：拟派项目负责人（项目经理）具有二级及以上注册建造师证书及安全生产考核合格证书（B类），注册专业为建筑工程且在本企业注册，证书在有效期内；且未担任其他在建工程项目的项目负责人</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丰汇国际项目管理有限公司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陕西省西安市碑林区陕西省西安市碑林区长安北路永宁国际（大话南门）20楼2003室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张经理</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13171081018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西乌珠穆沁旗公安局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西乌珠穆沁旗巴拉嘎尔高勒镇</w:t>
      </w:r>
    </w:p>
    <w:p>
      <w:pPr>
        <w:pStyle w:val="null5"/>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张青军</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18047907249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甲方按照评审报告推荐的顺序确认中标（成交）供应商。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按照《国家发展改革委关于进一步开放建设项目专业服务价格的通知》（发改价格【2015】299号）的规定实行市场调节价，计算标准参考《内蒙古自治区建设工程招标代理服务收费指导意见》（内工建协【2022】34号）文件差额累计</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西乌珠穆沁旗公安局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丰汇国际项目管理有限公司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西乌珠穆沁旗达青检查通道建设</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自合同签订之日起180日历天</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采购人约定地点</w:t>
            </w:r>
          </w:p>
        </w:tc>
      </w:tr>
      <w:tr>
        <w:tc>
          <w:tcPr>
            <w:tcW w:type="dxa" w:w="2076"/>
          </w:tcPr>
          <w:p>
            <w:pPr>
              <w:pStyle w:val="null5"/>
              <w:jc w:val="left"/>
            </w:pPr>
            <w:r>
              <w:rPr>
                <w:rFonts w:ascii="仿宋_GB2312" w:hAnsi="仿宋_GB2312" w:cs="仿宋_GB2312" w:eastAsia="仿宋_GB2312"/>
              </w:rPr>
              <w:t>3</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1、签订合同人员材料设备进场，支付30%，达到付款条件起30日，支付合同总金额的30.00%</w:t>
            </w:r>
          </w:p>
          <w:p>
            <w:pPr>
              <w:pStyle w:val="null5"/>
              <w:jc w:val="left"/>
            </w:pPr>
            <w:r>
              <w:rPr>
                <w:rFonts w:ascii="仿宋_GB2312" w:hAnsi="仿宋_GB2312" w:cs="仿宋_GB2312" w:eastAsia="仿宋_GB2312"/>
              </w:rPr>
              <w:t>2、全部完工，验收合格后付40%，达到付款条件起30日，支付合同总金额的40.00%</w:t>
            </w:r>
          </w:p>
          <w:p>
            <w:pPr>
              <w:pStyle w:val="null5"/>
              <w:jc w:val="left"/>
            </w:pPr>
            <w:r>
              <w:rPr>
                <w:rFonts w:ascii="仿宋_GB2312" w:hAnsi="仿宋_GB2312" w:cs="仿宋_GB2312" w:eastAsia="仿宋_GB2312"/>
              </w:rPr>
              <w:t>3、通过竣工验收，缺陷责任期（质量保修期）满后，达到付款条件起30日，支付合同总金额的30.00%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标的名称：西乌珠穆沁旗达青检查通道建设项目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符合工程量清单</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资质要求</w:t>
            </w:r>
          </w:p>
        </w:tc>
        <w:tc>
          <w:tcPr>
            <w:tcW w:type="dxa" w:w="4984"/>
          </w:tcPr>
          <w:p>
            <w:pPr>
              <w:pStyle w:val="null5"/>
              <w:jc w:val="left"/>
            </w:pPr>
            <w:r>
              <w:rPr>
                <w:rFonts w:ascii="仿宋_GB2312" w:hAnsi="仿宋_GB2312" w:cs="仿宋_GB2312" w:eastAsia="仿宋_GB2312"/>
              </w:rPr>
              <w:t>供应商须具有建设行政主管部门核发的建筑工程施工总承包三级及以上资质，证书在有效期内；供应商须具有有效期内的建设行政主管部门核发的安全生产许可证</w:t>
            </w:r>
          </w:p>
        </w:tc>
      </w:tr>
      <w:tr>
        <w:tc>
          <w:tcPr>
            <w:tcW w:type="dxa" w:w="3322"/>
          </w:tcPr>
          <w:p>
            <w:pPr>
              <w:pStyle w:val="null5"/>
              <w:jc w:val="left"/>
            </w:pPr>
            <w:r>
              <w:rPr>
                <w:rFonts w:ascii="仿宋_GB2312" w:hAnsi="仿宋_GB2312" w:cs="仿宋_GB2312" w:eastAsia="仿宋_GB2312"/>
              </w:rPr>
              <w:t>项目经理要求</w:t>
            </w:r>
          </w:p>
        </w:tc>
        <w:tc>
          <w:tcPr>
            <w:tcW w:type="dxa" w:w="4984"/>
          </w:tcPr>
          <w:p>
            <w:pPr>
              <w:pStyle w:val="null5"/>
              <w:jc w:val="left"/>
            </w:pPr>
            <w:r>
              <w:rPr>
                <w:rFonts w:ascii="仿宋_GB2312" w:hAnsi="仿宋_GB2312" w:cs="仿宋_GB2312" w:eastAsia="仿宋_GB2312"/>
              </w:rPr>
              <w:t>拟派项目负责人（项目经理）具有二级及以上注册建造师证书及安全生产考核合格证书（B类），注册专业为建筑工程且在本企业注册，证书在有效期内；且未担任其他在建工程项目的项目负责人</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技术部分62.00分</w:t>
            </w:r>
          </w:p>
          <w:p>
            <w:pPr>
              <w:pStyle w:val="null5"/>
              <w:jc w:val="left"/>
            </w:pPr>
            <w:r>
              <w:rPr>
                <w:rFonts w:ascii="仿宋_GB2312" w:hAnsi="仿宋_GB2312" w:cs="仿宋_GB2312" w:eastAsia="仿宋_GB2312"/>
              </w:rPr>
              <w:t>商务部分18.00分</w:t>
            </w:r>
          </w:p>
          <w:p>
            <w:pPr>
              <w:pStyle w:val="null5"/>
              <w:jc w:val="left"/>
            </w:pPr>
            <w:r>
              <w:rPr>
                <w:rFonts w:ascii="仿宋_GB2312" w:hAnsi="仿宋_GB2312" w:cs="仿宋_GB2312" w:eastAsia="仿宋_GB2312"/>
              </w:rPr>
              <w:t>报价得分20.00分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施工组织方案 (10.0分)</w:t>
            </w:r>
          </w:p>
        </w:tc>
        <w:tc>
          <w:tcPr>
            <w:tcW w:type="dxa" w:w="3115"/>
          </w:tcPr>
          <w:p>
            <w:pPr>
              <w:pStyle w:val="null5"/>
              <w:jc w:val="left"/>
            </w:pPr>
            <w:r>
              <w:rPr>
                <w:rFonts w:ascii="仿宋_GB2312" w:hAnsi="仿宋_GB2312" w:cs="仿宋_GB2312" w:eastAsia="仿宋_GB2312"/>
              </w:rPr>
              <w:t>对项目编制切实可行的施工组织方案进行评审： （1）方案完整性、科学 性及编制水平能够指导施工，满足施工要求且具有针对性的，得7-10分。 （2）方案完整性、科学性及编制水平一般，基本满足施工要求的，得4-6 分。 （3）方案完整性、科学性及编制水平有所欠缺，内容存在缺漏，得1 -3分。 （4）不合理或不提供不得分。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 (10.0分)</w:t>
            </w:r>
          </w:p>
        </w:tc>
        <w:tc>
          <w:tcPr>
            <w:tcW w:type="dxa" w:w="3115"/>
          </w:tcPr>
          <w:p>
            <w:pPr>
              <w:pStyle w:val="null5"/>
              <w:jc w:val="left"/>
            </w:pPr>
            <w:r>
              <w:rPr>
                <w:rFonts w:ascii="仿宋_GB2312" w:hAnsi="仿宋_GB2312" w:cs="仿宋_GB2312" w:eastAsia="仿宋_GB2312"/>
              </w:rPr>
              <w:t>根据提供的质量管理体系与措施进行评价，质量目标满足采购文件要求， 具有质量控制计划、岗位责任、材料采购、过程控制及检验、分项措施。 具体评审标准如下： （1）工程质量保证计划全面细致、结合实际、措施 具体，责任到位，工程质量标准较高，得7-10分； （2）工程质量保证计划 比较全面、比较结合实际，措施比较具体， 责任基本到位，工程质量标准 良好，得4-6分； （3）工程质量保证计划一般，内容存在缺漏，得1-3分 ； （4）不合理或不提供不得分。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 (10.0分)</w:t>
            </w:r>
          </w:p>
        </w:tc>
        <w:tc>
          <w:tcPr>
            <w:tcW w:type="dxa" w:w="3115"/>
          </w:tcPr>
          <w:p>
            <w:pPr>
              <w:pStyle w:val="null5"/>
              <w:jc w:val="left"/>
            </w:pPr>
            <w:r>
              <w:rPr>
                <w:rFonts w:ascii="仿宋_GB2312" w:hAnsi="仿宋_GB2312" w:cs="仿宋_GB2312" w:eastAsia="仿宋_GB2312"/>
              </w:rPr>
              <w:t>根据提供的安全管理体系与措施进行评价，安全文明施工目标满足采购文 件要求，具有安全管理体系、防护措施，工程安全防护方案符合国家及地 方管理规定。具体评审标准如下： （1）安全管理体系与措施针对性强， 内容齐全，符合相关规定，准确、规范，符合要求，得7-10分； （2）安全 管理体系与措施针对性一般，内容基本齐全，符合相关规定，基本符合要 求，得4-6分 ； （3）安全管理体系与措施针对性差，内容存在少量缺漏 ，得1-3分； （4）不合理或不提供不得分。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环境管理体系与措施 (7.0分)</w:t>
            </w:r>
          </w:p>
        </w:tc>
        <w:tc>
          <w:tcPr>
            <w:tcW w:type="dxa" w:w="3115"/>
          </w:tcPr>
          <w:p>
            <w:pPr>
              <w:pStyle w:val="null5"/>
              <w:jc w:val="left"/>
            </w:pPr>
            <w:r>
              <w:rPr>
                <w:rFonts w:ascii="仿宋_GB2312" w:hAnsi="仿宋_GB2312" w:cs="仿宋_GB2312" w:eastAsia="仿宋_GB2312"/>
              </w:rPr>
              <w:t>根据提供的环境管理体系与措施进行评价，具有环境保护管理体系、污染 物处理及排放符合国家及地方环境保护标准、技术及管理措施。具体评审 标准如下： （1）环境管理体系与措施针对性强，便于施工组织，内容齐 全，准确、规范，符合要求，得5-7分； （2）环境管理体系与措施针对性 良好，便于施工组织，内容基本齐全，基本符合要求，得3-4分； （3）环 境管理体系与措施针对性一般，内容存在缺漏，得1-2分。 （4）不合理或 不提供不得分。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安全文明施工要求 (7.0分)</w:t>
            </w:r>
          </w:p>
        </w:tc>
        <w:tc>
          <w:tcPr>
            <w:tcW w:type="dxa" w:w="3115"/>
          </w:tcPr>
          <w:p>
            <w:pPr>
              <w:pStyle w:val="null5"/>
              <w:jc w:val="left"/>
            </w:pPr>
            <w:r>
              <w:rPr>
                <w:rFonts w:ascii="仿宋_GB2312" w:hAnsi="仿宋_GB2312" w:cs="仿宋_GB2312" w:eastAsia="仿宋_GB2312"/>
              </w:rPr>
              <w:t>根据提供的安全文明施工要求进行评价，内容包含现场平面布置，符合相 关安全文明施工要求，制定符合本项目的安全文明施工要求。具体评审标 准如下： （1）根据实际情况制定安全文明施工保证计划全面周到、完整 ，关键点、工序 、环节控制保障措施得力，责任具体，安全文明施工标准 高，得5-7分； （2）根据实际情况制定安全文明施工保证计划基本周到、 完整，安全文明施工标准基本满足要求，得3-4分； （3）根据实际情况制 定安全文明施工保证计划一般，内容存在缺漏， 得1-2分 （4）不合理或 不提供不得分。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工程进度计划与措施 (7.0分)</w:t>
            </w:r>
          </w:p>
        </w:tc>
        <w:tc>
          <w:tcPr>
            <w:tcW w:type="dxa" w:w="3115"/>
          </w:tcPr>
          <w:p>
            <w:pPr>
              <w:pStyle w:val="null5"/>
              <w:jc w:val="left"/>
            </w:pPr>
            <w:r>
              <w:rPr>
                <w:rFonts w:ascii="仿宋_GB2312" w:hAnsi="仿宋_GB2312" w:cs="仿宋_GB2312" w:eastAsia="仿宋_GB2312"/>
              </w:rPr>
              <w:t>根据提供的工程进度计划与措施进行评价，具体评审标准如下 ： （1）施 工进度计划编制合理、可行，关键线路清晰、准确、完整，关键节点控制 措施得力、 可操作性强，保证措施可靠，得5-7分； （2）施工进度计划 编制基本合理、可行，关键线路基本清晰、准确，保证措施一般，得3-4 分。 （3）施工进度计划编制一般、内容存在缺漏，得1-2分。 （4）不合 理或不提供不得分。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紧急情况的处理措施 (7.0分)</w:t>
            </w:r>
          </w:p>
        </w:tc>
        <w:tc>
          <w:tcPr>
            <w:tcW w:type="dxa" w:w="3115"/>
          </w:tcPr>
          <w:p>
            <w:pPr>
              <w:pStyle w:val="null5"/>
              <w:jc w:val="left"/>
            </w:pPr>
            <w:r>
              <w:rPr>
                <w:rFonts w:ascii="仿宋_GB2312" w:hAnsi="仿宋_GB2312" w:cs="仿宋_GB2312" w:eastAsia="仿宋_GB2312"/>
              </w:rPr>
              <w:t>（1）紧急情况的处理措施、预案以及抵抗风险的措施内容完整、科学合 理具有可行性得4-7分； （2）紧急情况的处理措施、预案以及抵抗风险的 措施内容一般得1-3分； （3）不合理或不提供不得分。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施工机械和组织机构、劳动力配 置 (4.0分)</w:t>
            </w:r>
          </w:p>
        </w:tc>
        <w:tc>
          <w:tcPr>
            <w:tcW w:type="dxa" w:w="3115"/>
          </w:tcPr>
          <w:p>
            <w:pPr>
              <w:pStyle w:val="null5"/>
              <w:jc w:val="left"/>
            </w:pPr>
            <w:r>
              <w:rPr>
                <w:rFonts w:ascii="仿宋_GB2312" w:hAnsi="仿宋_GB2312" w:cs="仿宋_GB2312" w:eastAsia="仿宋_GB2312"/>
              </w:rPr>
              <w:t>根据提供的资源配备计划进行评价，内容包含机械设备、劳动力、施工机 具、架料、模板及安全防护用品满足工程进度及施工管理。 （1）内容完 整，符合相关规定，准确、规范，完全符合要求得3-4分； （2）内容基本 齐全，符合相关规定，准确、规范，基本符合要求，得1-2分； （3）不合 理或不提供不得分 。</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 (12.0分)</w:t>
            </w:r>
          </w:p>
        </w:tc>
        <w:tc>
          <w:tcPr>
            <w:tcW w:type="dxa" w:w="3115"/>
          </w:tcPr>
          <w:p>
            <w:pPr>
              <w:pStyle w:val="null5"/>
              <w:jc w:val="left"/>
            </w:pPr>
            <w:r>
              <w:rPr>
                <w:rFonts w:ascii="仿宋_GB2312" w:hAnsi="仿宋_GB2312" w:cs="仿宋_GB2312" w:eastAsia="仿宋_GB2312"/>
              </w:rPr>
              <w:t>企业所承揽的类似工程业绩，每有一项得3分，最高得12分。（注：类似 工程业绩指建筑工程项目，以中标通知书或施工合同为依据）。</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项目管理机构 (6.0分)</w:t>
            </w:r>
          </w:p>
        </w:tc>
        <w:tc>
          <w:tcPr>
            <w:tcW w:type="dxa" w:w="3115"/>
          </w:tcPr>
          <w:p>
            <w:pPr>
              <w:pStyle w:val="null5"/>
              <w:jc w:val="left"/>
            </w:pPr>
            <w:r>
              <w:rPr>
                <w:rFonts w:ascii="仿宋_GB2312" w:hAnsi="仿宋_GB2312" w:cs="仿宋_GB2312" w:eastAsia="仿宋_GB2312"/>
              </w:rPr>
              <w:t>项目管理人员配备齐全得6分，缺少一项扣1分。施工员、质量员（质检员 ）、资料员、安全员、预算员、材料员（投标人须 提供拟派项目管理机构 成员的身份证、岗位证和劳动合同）。</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5.00%</w:t>
            </w:r>
          </w:p>
        </w:tc>
        <w:tc>
          <w:tcPr>
            <w:tcW w:type="dxa" w:w="2492"/>
          </w:tcPr>
          <w:p>
            <w:pPr>
              <w:pStyle w:val="null5"/>
              <w:jc w:val="left"/>
            </w:pPr>
            <w:r>
              <w:rPr>
                <w:rFonts w:ascii="仿宋_GB2312" w:hAnsi="仿宋_GB2312" w:cs="仿宋_GB2312" w:eastAsia="仿宋_GB2312"/>
              </w:rPr>
              <w:t>1、对小、微企业报价给予3%—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