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锡林郭勒盟太仆寺旗2024年三北工程林草湿荒一体化保护修复项目（灌木林平茬）</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太仆寺旗林业工作站</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内蒙古博实招标代理有限责任公司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152527-BSGGCG-GK-20250001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内蒙古博实招标代理有限责任公司</w:t>
      </w:r>
      <w:r>
        <w:rPr>
          <w:rFonts w:ascii="仿宋_GB2312" w:hAnsi="仿宋_GB2312" w:cs="仿宋_GB2312" w:eastAsia="仿宋_GB2312"/>
        </w:rPr>
        <w:t xml:space="preserve"> 受 </w:t>
      </w:r>
      <w:r>
        <w:rPr>
          <w:rFonts w:ascii="仿宋_GB2312" w:hAnsi="仿宋_GB2312" w:cs="仿宋_GB2312" w:eastAsia="仿宋_GB2312"/>
        </w:rPr>
        <w:t>太仆寺旗林业工作站</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锡林郭勒盟太仆寺旗2024年三北工程林草湿荒一体化保护修复项目（灌木林平茬）</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锡林郭勒盟太仆寺旗2024年三北工程林草湿荒一体化保护修复项目（灌木林平茬）</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152527-BSGGCG-GK-20250001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太政采计划[2025]00192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2,179,600.00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平茬作业及剩余物清理</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2,179,600.00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1,837,800.00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围栏材料</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1,585,900.00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围栏安装施工</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251,900.00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内蒙古博实招标代理有限责任公司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内蒙古自治区锡林郭勒盟锡林浩特市希办新华社区世纪嘉园小区B1 01024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郭天龙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0479-8106008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太仆寺旗林业工作站</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太仆寺旗宝昌镇解放大街西</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韩伟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13947951330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代理服务费收费标准：2.08万元</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太仆寺旗林业工作站</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内蒙古博实招标代理有限责任公司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符合关于联合体投标的相关规定。本项目不接受联合体。</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符合关于联合体投标的相关规定。本项目不接受联合体。</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color w:val="000000"/>
        </w:rPr>
        <w:t>通过割除灌木的地上部分，以增强具有萌蘖能力灌木的更新萌蘖能力，从而促进灌木生长发育，解决灌木生长衰弱、老熟、盖度低等问题，提高灌木林效益。</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合同签订后至2025年9月底。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太仆寺旗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1、项目竣工通过甲方验收合格后，达到付款条件起15日，支付合同总金额的95.00%</w:t>
            </w:r>
          </w:p>
          <w:p>
            <w:pPr>
              <w:pStyle w:val="null5"/>
              <w:jc w:val="left"/>
            </w:pPr>
            <w:r>
              <w:rPr>
                <w:rFonts w:ascii="仿宋_GB2312" w:hAnsi="仿宋_GB2312" w:cs="仿宋_GB2312" w:eastAsia="仿宋_GB2312"/>
              </w:rPr>
              <w:t>2、第二年通过盟级林草部门验收合格后，达到付款条件起15日，支付合同总金额的5.00%</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合同签订后至2025年9月底。</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太仆寺旗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1、项目竣工通过甲方验收合格后，达到付款条件起15日，支付合同总金额的95.00%</w:t>
            </w:r>
          </w:p>
          <w:p>
            <w:pPr>
              <w:pStyle w:val="null5"/>
              <w:jc w:val="left"/>
            </w:pPr>
            <w:r>
              <w:rPr>
                <w:rFonts w:ascii="仿宋_GB2312" w:hAnsi="仿宋_GB2312" w:cs="仿宋_GB2312" w:eastAsia="仿宋_GB2312"/>
              </w:rPr>
              <w:t>2、第二年通过盟级林草部门验收合格后，达到付款条件起15日，支付合同总金额的5.00%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标的名称：平茬作业及剩余物清理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05"/>
              <w:ind w:left="15"/>
              <w:jc w:val="left"/>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建设地点</w:t>
            </w:r>
          </w:p>
          <w:p>
            <w:pPr>
              <w:pStyle w:val="null5"/>
              <w:spacing w:before="285"/>
              <w:ind w:left="45" w:right="60" w:firstLine="540"/>
              <w:jc w:val="left"/>
            </w:pPr>
            <w:r>
              <w:rPr>
                <w:rFonts w:ascii="仿宋_GB2312" w:hAnsi="仿宋_GB2312" w:cs="仿宋_GB2312" w:eastAsia="仿宋_GB2312"/>
                <w:sz w:val="24"/>
                <w:color w:val="000000"/>
              </w:rPr>
              <w:t>太仆寺旗灌木林平茬实施范围安排在</w:t>
            </w:r>
            <w:r>
              <w:rPr>
                <w:rFonts w:ascii="仿宋_GB2312" w:hAnsi="仿宋_GB2312" w:cs="仿宋_GB2312" w:eastAsia="仿宋_GB2312"/>
                <w:sz w:val="24"/>
                <w:color w:val="000000"/>
              </w:rPr>
              <w:t>4个乡镇，即红旗镇、宝昌镇</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、幸福乡、千斤沟镇。</w:t>
            </w:r>
          </w:p>
          <w:p>
            <w:pPr>
              <w:pStyle w:val="null5"/>
              <w:spacing w:before="150"/>
              <w:ind w:right="450" w:firstLine="476"/>
              <w:jc w:val="both"/>
            </w:pPr>
            <w:r>
              <w:rPr>
                <w:rFonts w:ascii="仿宋_GB2312" w:hAnsi="仿宋_GB2312" w:cs="仿宋_GB2312" w:eastAsia="仿宋_GB2312"/>
                <w:sz w:val="24"/>
                <w:color w:val="000000"/>
              </w:rPr>
              <w:t>灌木林平茬作业</w:t>
            </w:r>
            <w:r>
              <w:rPr>
                <w:rFonts w:ascii="仿宋_GB2312" w:hAnsi="仿宋_GB2312" w:cs="仿宋_GB2312" w:eastAsia="仿宋_GB2312"/>
                <w:sz w:val="24"/>
                <w:color w:val="000000"/>
              </w:rPr>
              <w:t>4个乡镇，26个行政村林班，119个小班。分别为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红旗镇的爱国村</w:t>
            </w:r>
            <w:r>
              <w:rPr>
                <w:rFonts w:ascii="仿宋_GB2312" w:hAnsi="仿宋_GB2312" w:cs="仿宋_GB2312" w:eastAsia="仿宋_GB2312"/>
                <w:sz w:val="24"/>
                <w:color w:val="000000"/>
              </w:rPr>
              <w:t>4个小班，朝阳村2个小班，红井村1个小班，宏胜村2个小班，矿石村5个小班，庙地村4个小班，民主村2个小班，水泉村6</w:t>
            </w:r>
            <w:r>
              <w:rPr>
                <w:rFonts w:ascii="仿宋_GB2312" w:hAnsi="仿宋_GB2312" w:cs="仿宋_GB2312" w:eastAsia="仿宋_GB2312"/>
                <w:sz w:val="24"/>
                <w:color w:val="000000"/>
              </w:rPr>
              <w:t>个小班，新合村</w:t>
            </w:r>
            <w:r>
              <w:rPr>
                <w:rFonts w:ascii="仿宋_GB2312" w:hAnsi="仿宋_GB2312" w:cs="仿宋_GB2312" w:eastAsia="仿宋_GB2312"/>
                <w:sz w:val="24"/>
                <w:color w:val="000000"/>
              </w:rPr>
              <w:t>3个小班；宝昌镇的东红村9个小班，繁茂村2个小班，</w:t>
            </w:r>
            <w:r>
              <w:rPr>
                <w:rFonts w:ascii="仿宋_GB2312" w:hAnsi="仿宋_GB2312" w:cs="仿宋_GB2312" w:eastAsia="仿宋_GB2312"/>
                <w:sz w:val="24"/>
                <w:color w:val="000000"/>
              </w:rPr>
              <w:t>宏大村</w:t>
            </w:r>
            <w:r>
              <w:rPr>
                <w:rFonts w:ascii="仿宋_GB2312" w:hAnsi="仿宋_GB2312" w:cs="仿宋_GB2312" w:eastAsia="仿宋_GB2312"/>
                <w:sz w:val="24"/>
                <w:color w:val="000000"/>
              </w:rPr>
              <w:t>2个小班，宏胜村5个小班，曙光村4个</w:t>
            </w:r>
            <w:r>
              <w:rPr>
                <w:rFonts w:ascii="仿宋_GB2312" w:hAnsi="仿宋_GB2312" w:cs="仿宋_GB2312" w:eastAsia="仿宋_GB2312"/>
                <w:sz w:val="24"/>
                <w:color w:val="000000"/>
              </w:rPr>
              <w:t>小班，西坡村</w:t>
            </w:r>
            <w:r>
              <w:rPr>
                <w:rFonts w:ascii="仿宋_GB2312" w:hAnsi="仿宋_GB2312" w:cs="仿宋_GB2312" w:eastAsia="仿宋_GB2312"/>
                <w:sz w:val="24"/>
                <w:color w:val="000000"/>
              </w:rPr>
              <w:t>31个小班；</w:t>
            </w:r>
            <w:r>
              <w:rPr>
                <w:rFonts w:ascii="仿宋_GB2312" w:hAnsi="仿宋_GB2312" w:cs="仿宋_GB2312" w:eastAsia="仿宋_GB2312"/>
                <w:sz w:val="24"/>
                <w:color w:val="000000"/>
              </w:rPr>
              <w:t>千斤沟镇沟门村</w:t>
            </w:r>
            <w:r>
              <w:rPr>
                <w:rFonts w:ascii="仿宋_GB2312" w:hAnsi="仿宋_GB2312" w:cs="仿宋_GB2312" w:eastAsia="仿宋_GB2312"/>
                <w:sz w:val="24"/>
                <w:color w:val="000000"/>
              </w:rPr>
              <w:t>1个小班，葫芦峪村8个小班，六号村1</w:t>
            </w:r>
            <w:r>
              <w:rPr>
                <w:rFonts w:ascii="仿宋_GB2312" w:hAnsi="仿宋_GB2312" w:cs="仿宋_GB2312" w:eastAsia="仿宋_GB2312"/>
                <w:sz w:val="24"/>
                <w:color w:val="000000"/>
              </w:rPr>
              <w:t>个小班，马坊子</w:t>
            </w:r>
            <w:r>
              <w:rPr>
                <w:rFonts w:ascii="仿宋_GB2312" w:hAnsi="仿宋_GB2312" w:cs="仿宋_GB2312" w:eastAsia="仿宋_GB2312"/>
                <w:sz w:val="24"/>
                <w:color w:val="000000"/>
              </w:rPr>
              <w:t>村</w:t>
            </w:r>
            <w:r>
              <w:rPr>
                <w:rFonts w:ascii="仿宋_GB2312" w:hAnsi="仿宋_GB2312" w:cs="仿宋_GB2312" w:eastAsia="仿宋_GB2312"/>
                <w:sz w:val="24"/>
                <w:color w:val="000000"/>
              </w:rPr>
              <w:t>5个小班，西山坡村3个小班，意合村4个小班；幸福乡红革村1个小班，南地房子村2个小班，淖沿村1个小班，永合村4个小班，永旺村7个小班。</w:t>
            </w:r>
          </w:p>
          <w:p>
            <w:pPr>
              <w:pStyle w:val="null5"/>
              <w:spacing w:before="105"/>
              <w:ind w:left="15"/>
              <w:jc w:val="left"/>
            </w:pPr>
            <w:r>
              <w:rPr>
                <w:rFonts w:ascii="仿宋_GB2312" w:hAnsi="仿宋_GB2312" w:cs="仿宋_GB2312" w:eastAsia="仿宋_GB2312"/>
                <w:sz w:val="28"/>
                <w:b/>
                <w:color w:val="000000"/>
              </w:rPr>
              <w:t>2、建设规模</w:t>
            </w:r>
          </w:p>
          <w:p>
            <w:pPr>
              <w:pStyle w:val="null5"/>
              <w:spacing w:before="150"/>
              <w:ind w:right="450" w:firstLine="476"/>
              <w:jc w:val="both"/>
            </w:pPr>
            <w:r>
              <w:rPr>
                <w:rFonts w:ascii="仿宋_GB2312" w:hAnsi="仿宋_GB2312" w:cs="仿宋_GB2312" w:eastAsia="仿宋_GB2312"/>
                <w:sz w:val="24"/>
                <w:color w:val="000000"/>
              </w:rPr>
              <w:t>灌木林平茬：总面积</w:t>
            </w:r>
            <w:r>
              <w:rPr>
                <w:rFonts w:ascii="仿宋_GB2312" w:hAnsi="仿宋_GB2312" w:cs="仿宋_GB2312" w:eastAsia="仿宋_GB2312"/>
                <w:sz w:val="24"/>
                <w:color w:val="000000"/>
              </w:rPr>
              <w:t>2万亩，其中红旗镇0.96万亩，宝昌镇0.44万亩，千斤沟镇0.40万亩，幸福乡0.20万亩。</w:t>
            </w:r>
          </w:p>
          <w:p>
            <w:pPr>
              <w:pStyle w:val="null5"/>
              <w:spacing w:before="105"/>
              <w:ind w:left="15"/>
              <w:jc w:val="left"/>
            </w:pPr>
            <w:r>
              <w:rPr>
                <w:rFonts w:ascii="仿宋_GB2312" w:hAnsi="仿宋_GB2312" w:cs="仿宋_GB2312" w:eastAsia="仿宋_GB2312"/>
                <w:sz w:val="28"/>
                <w:b/>
                <w:color w:val="000000"/>
              </w:rPr>
              <w:t>3、灌木林平茬方式</w:t>
            </w:r>
          </w:p>
          <w:p>
            <w:pPr>
              <w:pStyle w:val="null5"/>
              <w:spacing w:before="150"/>
              <w:ind w:right="450" w:firstLine="476"/>
              <w:jc w:val="both"/>
            </w:pPr>
            <w:r>
              <w:rPr>
                <w:rFonts w:ascii="仿宋_GB2312" w:hAnsi="仿宋_GB2312" w:cs="仿宋_GB2312" w:eastAsia="仿宋_GB2312"/>
                <w:sz w:val="24"/>
                <w:color w:val="000000"/>
              </w:rPr>
              <w:t>经现地调查，灌木林平茬作业实施区域</w:t>
            </w:r>
            <w:r>
              <w:rPr>
                <w:rFonts w:ascii="仿宋_GB2312" w:hAnsi="仿宋_GB2312" w:cs="仿宋_GB2312" w:eastAsia="仿宋_GB2312"/>
                <w:sz w:val="24"/>
                <w:color w:val="000000"/>
              </w:rPr>
              <w:t>43个小班树种为沙棘，76个小班树种为柠条；平均盖度约为40%。平茬方式为机械平茬。</w:t>
            </w:r>
          </w:p>
          <w:p>
            <w:pPr>
              <w:pStyle w:val="null5"/>
              <w:jc w:val="left"/>
            </w:pPr>
            <w:r>
              <w:rPr>
                <w:rFonts w:ascii="仿宋_GB2312" w:hAnsi="仿宋_GB2312" w:cs="仿宋_GB2312" w:eastAsia="仿宋_GB2312"/>
                <w:sz w:val="24"/>
                <w:color w:val="000000"/>
              </w:rPr>
              <w:t xml:space="preserve">  灌木林平茬的技术路线是通过割除灌木的地上部分，以增强具有萌蘖能力灌木的更新萌蘖能力，从而促进灌木生长发育，解决灌木生长衰弱、老熟、盖度低等问题，提高灌木林效益。</w:t>
            </w:r>
            <w:r>
              <w:rPr>
                <w:rFonts w:ascii="仿宋_GB2312" w:hAnsi="仿宋_GB2312" w:cs="仿宋_GB2312" w:eastAsia="仿宋_GB2312"/>
                <w:sz w:val="24"/>
                <w:color w:val="000000"/>
              </w:rPr>
              <w:t>详见表</w:t>
            </w:r>
            <w:r>
              <w:rPr>
                <w:rFonts w:ascii="仿宋_GB2312" w:hAnsi="仿宋_GB2312" w:cs="仿宋_GB2312" w:eastAsia="仿宋_GB2312"/>
                <w:sz w:val="24"/>
                <w:color w:val="000000"/>
              </w:rPr>
              <w:t>1</w:t>
            </w:r>
            <w:r>
              <w:rPr>
                <w:rFonts w:ascii="仿宋_GB2312" w:hAnsi="仿宋_GB2312" w:cs="仿宋_GB2312" w:eastAsia="仿宋_GB2312"/>
                <w:sz w:val="24"/>
                <w:color w:val="000000"/>
              </w:rPr>
              <w:t>小班作业设计一览表。</w:t>
            </w:r>
          </w:p>
          <w:p>
            <w:pPr>
              <w:pStyle w:val="null5"/>
              <w:spacing w:before="105"/>
              <w:ind w:left="15"/>
              <w:jc w:val="left"/>
            </w:pPr>
            <w:r>
              <w:rPr>
                <w:rFonts w:ascii="仿宋_GB2312" w:hAnsi="仿宋_GB2312" w:cs="仿宋_GB2312" w:eastAsia="仿宋_GB2312"/>
                <w:sz w:val="28"/>
                <w:b/>
                <w:color w:val="000000"/>
              </w:rPr>
              <w:t>4、施工设计</w:t>
            </w:r>
          </w:p>
          <w:p>
            <w:pPr>
              <w:pStyle w:val="null5"/>
              <w:spacing w:before="285"/>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1）平茬时间：土壤封冻时期，一般为11月上旬到次年3月下旬</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2）平茬周期：沙棘、柠条4～5年。</w:t>
            </w:r>
          </w:p>
          <w:p>
            <w:pPr>
              <w:pStyle w:val="null5"/>
              <w:spacing w:before="330"/>
              <w:ind w:right="75"/>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3）平茬方式及强度：根据太仆寺旗气候条件及技术规程要求</w:t>
            </w:r>
            <w:r>
              <w:rPr>
                <w:rFonts w:ascii="仿宋_GB2312" w:hAnsi="仿宋_GB2312" w:cs="仿宋_GB2312" w:eastAsia="仿宋_GB2312"/>
                <w:sz w:val="24"/>
                <w:color w:val="000000"/>
              </w:rPr>
              <w:t>，</w:t>
            </w:r>
            <w:r>
              <w:rPr>
                <w:rFonts w:ascii="仿宋_GB2312" w:hAnsi="仿宋_GB2312" w:cs="仿宋_GB2312" w:eastAsia="仿宋_GB2312"/>
                <w:sz w:val="24"/>
                <w:color w:val="000000"/>
              </w:rPr>
              <w:t>柠条、沙棘平茬强度为</w:t>
            </w:r>
            <w:r>
              <w:rPr>
                <w:rFonts w:ascii="仿宋_GB2312" w:hAnsi="仿宋_GB2312" w:cs="仿宋_GB2312" w:eastAsia="仿宋_GB2312"/>
                <w:sz w:val="24"/>
                <w:color w:val="000000"/>
              </w:rPr>
              <w:t>30%。</w:t>
            </w:r>
          </w:p>
          <w:p>
            <w:pPr>
              <w:pStyle w:val="null5"/>
              <w:spacing w:before="3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4）平茬作业方法：平茬方式为带状连续平茬复壮方式，平</w:t>
            </w:r>
            <w:r>
              <w:rPr>
                <w:rFonts w:ascii="仿宋_GB2312" w:hAnsi="仿宋_GB2312" w:cs="仿宋_GB2312" w:eastAsia="仿宋_GB2312"/>
                <w:sz w:val="24"/>
                <w:color w:val="000000"/>
              </w:rPr>
              <w:t>茬复壮强度为</w:t>
            </w:r>
            <w:r>
              <w:rPr>
                <w:rFonts w:ascii="仿宋_GB2312" w:hAnsi="仿宋_GB2312" w:cs="仿宋_GB2312" w:eastAsia="仿宋_GB2312"/>
                <w:sz w:val="24"/>
                <w:color w:val="000000"/>
              </w:rPr>
              <w:t>30%，每100米平茬复壮带的宽度为30米，保留带的宽度为70米。平茬复壮带的方向与灌木林复壮期的主害风方向垂直或基本垂直（即西南与东北走向</w:t>
            </w:r>
            <w:r>
              <w:rPr>
                <w:rFonts w:ascii="仿宋_GB2312" w:hAnsi="仿宋_GB2312" w:cs="仿宋_GB2312" w:eastAsia="仿宋_GB2312"/>
                <w:sz w:val="24"/>
                <w:color w:val="000000"/>
              </w:rPr>
              <w:t>），</w:t>
            </w:r>
            <w:r>
              <w:rPr>
                <w:rFonts w:ascii="仿宋_GB2312" w:hAnsi="仿宋_GB2312" w:cs="仿宋_GB2312" w:eastAsia="仿宋_GB2312"/>
                <w:sz w:val="24"/>
                <w:color w:val="000000"/>
              </w:rPr>
              <w:t>第一次平茬复壮带与主害风相反。实际作业时，由东向西逐地块进行平茬作业，平茬</w:t>
            </w:r>
            <w:r>
              <w:rPr>
                <w:rFonts w:ascii="仿宋_GB2312" w:hAnsi="仿宋_GB2312" w:cs="仿宋_GB2312" w:eastAsia="仿宋_GB2312"/>
                <w:sz w:val="24"/>
                <w:color w:val="000000"/>
              </w:rPr>
              <w:t>复壮</w:t>
            </w:r>
            <w:r>
              <w:rPr>
                <w:rFonts w:ascii="仿宋_GB2312" w:hAnsi="仿宋_GB2312" w:cs="仿宋_GB2312" w:eastAsia="仿宋_GB2312"/>
                <w:sz w:val="24"/>
                <w:color w:val="000000"/>
              </w:rPr>
              <w:t>带的走向为南北走向。</w:t>
            </w:r>
          </w:p>
          <w:p>
            <w:pPr>
              <w:pStyle w:val="null5"/>
              <w:jc w:val="left"/>
            </w:pPr>
            <w:r>
              <w:rPr>
                <w:rFonts w:ascii="仿宋_GB2312" w:hAnsi="仿宋_GB2312" w:cs="仿宋_GB2312" w:eastAsia="仿宋_GB2312"/>
                <w:sz w:val="21"/>
                <w:color w:val="000000"/>
              </w:rPr>
              <w:t>（5）作业后管理</w:t>
            </w:r>
          </w:p>
          <w:p>
            <w:pPr>
              <w:pStyle w:val="null5"/>
              <w:jc w:val="left"/>
            </w:pPr>
            <w:r>
              <w:rPr>
                <w:rFonts w:ascii="仿宋_GB2312" w:hAnsi="仿宋_GB2312" w:cs="仿宋_GB2312" w:eastAsia="仿宋_GB2312"/>
                <w:sz w:val="24"/>
                <w:color w:val="000000"/>
              </w:rPr>
              <w:t>施工单位平茬后应及时进行林地清理，将平茬枝条集中运出作业区。平茬后严格实行禁牧期</w:t>
            </w:r>
            <w:r>
              <w:rPr>
                <w:rFonts w:ascii="仿宋_GB2312" w:hAnsi="仿宋_GB2312" w:cs="仿宋_GB2312" w:eastAsia="仿宋_GB2312"/>
                <w:sz w:val="24"/>
                <w:color w:val="000000"/>
              </w:rPr>
              <w:t>2年。</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标的名称：围栏材料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330"/>
              <w:ind w:left="585"/>
              <w:jc w:val="left"/>
            </w:pPr>
            <w:r>
              <w:rPr>
                <w:rFonts w:ascii="仿宋_GB2312" w:hAnsi="仿宋_GB2312" w:cs="仿宋_GB2312" w:eastAsia="仿宋_GB2312"/>
                <w:sz w:val="32"/>
                <w:b/>
                <w:color w:val="000000"/>
              </w:rPr>
              <w:t>围封：</w:t>
            </w:r>
          </w:p>
          <w:p>
            <w:pPr>
              <w:pStyle w:val="null5"/>
              <w:spacing w:before="330"/>
              <w:ind w:left="585"/>
              <w:jc w:val="left"/>
            </w:pPr>
            <w:r>
              <w:rPr>
                <w:rFonts w:ascii="仿宋_GB2312" w:hAnsi="仿宋_GB2312" w:cs="仿宋_GB2312" w:eastAsia="仿宋_GB2312"/>
                <w:sz w:val="24"/>
                <w:color w:val="000000"/>
              </w:rPr>
              <w:t>1）围封长度：项目区围栏围封建设面积为</w:t>
            </w:r>
            <w:r>
              <w:rPr>
                <w:rFonts w:ascii="仿宋_GB2312" w:hAnsi="仿宋_GB2312" w:cs="仿宋_GB2312" w:eastAsia="仿宋_GB2312"/>
                <w:sz w:val="24"/>
                <w:color w:val="000000"/>
              </w:rPr>
              <w:t>20000亩。</w:t>
            </w:r>
            <w:r>
              <w:rPr>
                <w:rFonts w:ascii="仿宋_GB2312" w:hAnsi="仿宋_GB2312" w:cs="仿宋_GB2312" w:eastAsia="仿宋_GB2312"/>
                <w:sz w:val="24"/>
                <w:color w:val="000000"/>
              </w:rPr>
              <w:t>围栏长度为</w:t>
            </w:r>
            <w:r>
              <w:rPr>
                <w:rFonts w:ascii="仿宋_GB2312" w:hAnsi="仿宋_GB2312" w:cs="仿宋_GB2312" w:eastAsia="仿宋_GB2312"/>
                <w:sz w:val="24"/>
                <w:color w:val="000000"/>
              </w:rPr>
              <w:t>251325延长米。</w:t>
            </w:r>
          </w:p>
          <w:p>
            <w:pPr>
              <w:pStyle w:val="null5"/>
              <w:jc w:val="left"/>
            </w:pPr>
            <w:r>
              <w:rPr>
                <w:rFonts w:ascii="仿宋_GB2312" w:hAnsi="仿宋_GB2312" w:cs="仿宋_GB2312" w:eastAsia="仿宋_GB2312"/>
                <w:sz w:val="21"/>
                <w:color w:val="000000"/>
              </w:rPr>
              <w:t>2）质量标准：</w:t>
            </w:r>
          </w:p>
          <w:p>
            <w:pPr>
              <w:pStyle w:val="null5"/>
              <w:spacing w:before="330"/>
              <w:ind w:left="15" w:firstLine="869"/>
              <w:jc w:val="left"/>
            </w:pPr>
            <w:r>
              <w:rPr>
                <w:rFonts w:ascii="仿宋_GB2312" w:hAnsi="仿宋_GB2312" w:cs="仿宋_GB2312" w:eastAsia="仿宋_GB2312"/>
                <w:sz w:val="24"/>
                <w:color w:val="000000"/>
              </w:rPr>
              <w:t>围栏围封建设参照农业行业标准</w:t>
            </w:r>
            <w:r>
              <w:rPr>
                <w:rFonts w:ascii="仿宋_GB2312" w:hAnsi="仿宋_GB2312" w:cs="仿宋_GB2312" w:eastAsia="仿宋_GB2312"/>
                <w:sz w:val="24"/>
                <w:color w:val="000000"/>
              </w:rPr>
              <w:t>NY/T1237-2006《草原围栏建设</w:t>
            </w:r>
            <w:r>
              <w:rPr>
                <w:rFonts w:ascii="仿宋_GB2312" w:hAnsi="仿宋_GB2312" w:cs="仿宋_GB2312" w:eastAsia="仿宋_GB2312"/>
                <w:sz w:val="24"/>
                <w:color w:val="000000"/>
              </w:rPr>
              <w:t>技术规程》。</w:t>
            </w:r>
          </w:p>
          <w:p>
            <w:pPr>
              <w:pStyle w:val="null5"/>
              <w:spacing w:before="165"/>
              <w:ind w:left="57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）围栏组成</w:t>
            </w:r>
          </w:p>
          <w:p>
            <w:pPr>
              <w:pStyle w:val="null5"/>
              <w:spacing w:before="60"/>
              <w:ind w:left="135" w:right="105" w:firstLine="876"/>
              <w:jc w:val="both"/>
            </w:pPr>
            <w:r>
              <w:rPr>
                <w:rFonts w:ascii="仿宋_GB2312" w:hAnsi="仿宋_GB2312" w:cs="仿宋_GB2312" w:eastAsia="仿宋_GB2312"/>
                <w:sz w:val="24"/>
                <w:color w:val="000000"/>
              </w:rPr>
              <w:t>网片、刺丝、线桩、绑丝。全部材料都要经过监理人员签</w:t>
            </w:r>
            <w:r>
              <w:rPr>
                <w:rFonts w:ascii="仿宋_GB2312" w:hAnsi="仿宋_GB2312" w:cs="仿宋_GB2312" w:eastAsia="仿宋_GB2312"/>
                <w:sz w:val="24"/>
                <w:color w:val="000000"/>
              </w:rPr>
              <w:t>字后才</w:t>
            </w:r>
            <w:r>
              <w:rPr>
                <w:rFonts w:ascii="仿宋_GB2312" w:hAnsi="仿宋_GB2312" w:cs="仿宋_GB2312" w:eastAsia="仿宋_GB2312"/>
                <w:sz w:val="24"/>
                <w:color w:val="000000"/>
              </w:rPr>
              <w:t>能使用。</w:t>
            </w:r>
          </w:p>
          <w:p>
            <w:pPr>
              <w:pStyle w:val="null5"/>
              <w:spacing w:before="165"/>
              <w:ind w:left="69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）规格要求</w:t>
            </w:r>
          </w:p>
          <w:p>
            <w:pPr>
              <w:pStyle w:val="null5"/>
              <w:spacing w:before="330"/>
              <w:ind w:left="120" w:right="75" w:firstLine="596"/>
              <w:jc w:val="both"/>
            </w:pPr>
            <w:r>
              <w:rPr>
                <w:rFonts w:ascii="仿宋_GB2312" w:hAnsi="仿宋_GB2312" w:cs="仿宋_GB2312" w:eastAsia="仿宋_GB2312"/>
                <w:sz w:val="24"/>
                <w:color w:val="000000"/>
              </w:rPr>
              <w:t>围栏网片：采用</w:t>
            </w:r>
            <w:r>
              <w:rPr>
                <w:rFonts w:ascii="仿宋_GB2312" w:hAnsi="仿宋_GB2312" w:cs="仿宋_GB2312" w:eastAsia="仿宋_GB2312"/>
                <w:sz w:val="24"/>
                <w:color w:val="000000"/>
              </w:rPr>
              <w:t>7×110×60型，即网宽1100mm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纬线</w:t>
            </w:r>
            <w:r>
              <w:rPr>
                <w:rFonts w:ascii="仿宋_GB2312" w:hAnsi="仿宋_GB2312" w:cs="仿宋_GB2312" w:eastAsia="仿宋_GB2312"/>
                <w:sz w:val="24"/>
                <w:color w:val="000000"/>
              </w:rPr>
              <w:t>7根，经线</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间距</w:t>
            </w:r>
            <w:r>
              <w:rPr>
                <w:rFonts w:ascii="仿宋_GB2312" w:hAnsi="仿宋_GB2312" w:cs="仿宋_GB2312" w:eastAsia="仿宋_GB2312"/>
                <w:sz w:val="24"/>
                <w:color w:val="000000"/>
              </w:rPr>
              <w:t>600mm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，自上而下相邻两纬线间距</w:t>
            </w:r>
            <w:r>
              <w:rPr>
                <w:rFonts w:ascii="仿宋_GB2312" w:hAnsi="仿宋_GB2312" w:cs="仿宋_GB2312" w:eastAsia="仿宋_GB2312"/>
                <w:sz w:val="24"/>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180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180</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18</w:t>
            </w:r>
            <w:r>
              <w:rPr>
                <w:rFonts w:ascii="仿宋_GB2312" w:hAnsi="仿宋_GB2312" w:cs="仿宋_GB2312" w:eastAsia="仿宋_GB2312"/>
                <w:sz w:val="24"/>
                <w:color w:val="000000"/>
              </w:rPr>
              <w:t>0、</w:t>
            </w:r>
            <w:r>
              <w:rPr>
                <w:rFonts w:ascii="仿宋_GB2312" w:hAnsi="仿宋_GB2312" w:cs="仿宋_GB2312" w:eastAsia="仿宋_GB2312"/>
                <w:sz w:val="24"/>
                <w:color w:val="000000"/>
              </w:rPr>
              <w:t>160mm，边纬钢丝公称直径2.8mm，镀锌边纬线≥90g/㎡</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，中纬</w:t>
            </w:r>
            <w:r>
              <w:rPr>
                <w:rFonts w:ascii="仿宋_GB2312" w:hAnsi="仿宋_GB2312" w:cs="仿宋_GB2312" w:eastAsia="仿宋_GB2312"/>
                <w:sz w:val="24"/>
                <w:color w:val="000000"/>
              </w:rPr>
              <w:t>和经线</w:t>
            </w:r>
            <w:r>
              <w:rPr>
                <w:rFonts w:ascii="仿宋_GB2312" w:hAnsi="仿宋_GB2312" w:cs="仿宋_GB2312" w:eastAsia="仿宋_GB2312"/>
                <w:sz w:val="24"/>
                <w:color w:val="000000"/>
              </w:rPr>
              <w:t>钢丝公称直径</w:t>
            </w:r>
            <w:r>
              <w:rPr>
                <w:rFonts w:ascii="仿宋_GB2312" w:hAnsi="仿宋_GB2312" w:cs="仿宋_GB2312" w:eastAsia="仿宋_GB2312"/>
                <w:sz w:val="24"/>
                <w:color w:val="000000"/>
              </w:rPr>
              <w:t>2.5mm，镀锌≥80g/m</w:t>
            </w:r>
            <w:r>
              <w:rPr>
                <w:rFonts w:ascii="仿宋_GB2312" w:hAnsi="仿宋_GB2312" w:cs="仿宋_GB2312" w:eastAsia="仿宋_GB2312"/>
                <w:sz w:val="24"/>
                <w:color w:val="000000"/>
              </w:rPr>
              <w:t xml:space="preserve">2 </w:t>
            </w:r>
            <w:r>
              <w:rPr>
                <w:rFonts w:ascii="仿宋_GB2312" w:hAnsi="仿宋_GB2312" w:cs="仿宋_GB2312" w:eastAsia="仿宋_GB2312"/>
                <w:sz w:val="24"/>
                <w:color w:val="000000"/>
              </w:rPr>
              <w:t>，每捆长度为</w:t>
            </w:r>
            <w:r>
              <w:rPr>
                <w:rFonts w:ascii="仿宋_GB2312" w:hAnsi="仿宋_GB2312" w:cs="仿宋_GB2312" w:eastAsia="仿宋_GB2312"/>
                <w:sz w:val="24"/>
                <w:color w:val="000000"/>
              </w:rPr>
              <w:t>200m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，每</w:t>
            </w:r>
            <w:r>
              <w:rPr>
                <w:rFonts w:ascii="仿宋_GB2312" w:hAnsi="仿宋_GB2312" w:cs="仿宋_GB2312" w:eastAsia="仿宋_GB2312"/>
                <w:sz w:val="24"/>
                <w:color w:val="000000"/>
              </w:rPr>
              <w:t>捆重量为</w:t>
            </w:r>
            <w:r>
              <w:rPr>
                <w:rFonts w:ascii="仿宋_GB2312" w:hAnsi="仿宋_GB2312" w:cs="仿宋_GB2312" w:eastAsia="仿宋_GB2312"/>
                <w:sz w:val="24"/>
                <w:color w:val="000000"/>
              </w:rPr>
              <w:t>75kg</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，边纬线和中纬线抗拉强度</w:t>
            </w:r>
            <w:r>
              <w:rPr>
                <w:rFonts w:ascii="仿宋_GB2312" w:hAnsi="仿宋_GB2312" w:cs="仿宋_GB2312" w:eastAsia="仿宋_GB2312"/>
                <w:sz w:val="24"/>
                <w:color w:val="000000"/>
              </w:rPr>
              <w:t>≥900Mpa</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，经</w:t>
            </w:r>
            <w:r>
              <w:rPr>
                <w:rFonts w:ascii="仿宋_GB2312" w:hAnsi="仿宋_GB2312" w:cs="仿宋_GB2312" w:eastAsia="仿宋_GB2312"/>
                <w:sz w:val="24"/>
                <w:color w:val="000000"/>
              </w:rPr>
              <w:t>线抗拉强度</w:t>
            </w:r>
            <w:r>
              <w:rPr>
                <w:rFonts w:ascii="仿宋_GB2312" w:hAnsi="仿宋_GB2312" w:cs="仿宋_GB2312" w:eastAsia="仿宋_GB2312"/>
                <w:sz w:val="24"/>
                <w:color w:val="000000"/>
              </w:rPr>
              <w:t>≥550Mpa以</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上，钢丝缠绕试验钢丝不断裂。</w:t>
            </w:r>
          </w:p>
          <w:p>
            <w:pPr>
              <w:pStyle w:val="null5"/>
              <w:spacing w:before="330"/>
              <w:ind w:left="120" w:right="75" w:firstLine="596"/>
              <w:jc w:val="both"/>
            </w:pPr>
            <w:r>
              <w:rPr>
                <w:rFonts w:ascii="仿宋_GB2312" w:hAnsi="仿宋_GB2312" w:cs="仿宋_GB2312" w:eastAsia="仿宋_GB2312"/>
                <w:sz w:val="24"/>
                <w:color w:val="000000"/>
              </w:rPr>
              <w:t>表</w:t>
            </w:r>
            <w:r>
              <w:rPr>
                <w:rFonts w:ascii="仿宋_GB2312" w:hAnsi="仿宋_GB2312" w:cs="仿宋_GB2312" w:eastAsia="仿宋_GB2312"/>
                <w:sz w:val="24"/>
                <w:color w:val="000000"/>
              </w:rPr>
              <w:t>6-2    围栏网片用钢丝直径、锌层重量及抗拉强度</w:t>
            </w:r>
          </w:p>
          <w:tbl>
            <w:tblPr>
              <w:tblBorders>
                <w:top w:val="none" w:color="000000" w:sz="4"/>
                <w:left w:val="none" w:color="000000" w:sz="4"/>
                <w:bottom w:val="none" w:color="000000" w:sz="4"/>
                <w:right w:val="none" w:color="000000" w:sz="4"/>
                <w:insideH w:val="none"/>
                <w:insideV w:val="none"/>
              </w:tblBorders>
            </w:tblPr>
            <w:tblGrid>
              <w:gridCol w:w="852"/>
              <w:gridCol w:w="885"/>
              <w:gridCol w:w="914"/>
              <w:gridCol w:w="1172"/>
            </w:tblGrid>
            <w:tr>
              <w:tc>
                <w:tcPr>
                  <w:tcW w:type="dxa" w:w="8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jc w:val="center"/>
                  </w:pPr>
                  <w:r>
                    <w:rPr>
                      <w:rFonts w:ascii="仿宋_GB2312" w:hAnsi="仿宋_GB2312" w:cs="仿宋_GB2312" w:eastAsia="仿宋_GB2312"/>
                      <w:sz w:val="24"/>
                      <w:b/>
                      <w:color w:val="000000"/>
                    </w:rPr>
                    <w:t>名称</w:t>
                  </w:r>
                </w:p>
              </w:tc>
              <w:tc>
                <w:tcPr>
                  <w:tcW w:type="dxa" w:w="8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60"/>
                    <w:ind w:left="195"/>
                    <w:jc w:val="center"/>
                  </w:pPr>
                  <w:r>
                    <w:rPr>
                      <w:rFonts w:ascii="仿宋_GB2312" w:hAnsi="仿宋_GB2312" w:cs="仿宋_GB2312" w:eastAsia="仿宋_GB2312"/>
                      <w:sz w:val="24"/>
                      <w:b/>
                      <w:color w:val="000000"/>
                    </w:rPr>
                    <w:t>钢丝直径及允许偏差</w:t>
                  </w:r>
                  <w:r>
                    <w:rPr>
                      <w:rFonts w:ascii="仿宋_GB2312" w:hAnsi="仿宋_GB2312" w:cs="仿宋_GB2312" w:eastAsia="仿宋_GB2312"/>
                      <w:sz w:val="24"/>
                      <w:b/>
                      <w:color w:val="000000"/>
                    </w:rPr>
                    <w:t>mm</w:t>
                  </w:r>
                </w:p>
              </w:tc>
              <w:tc>
                <w:tcPr>
                  <w:tcW w:type="dxa" w:w="91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375"/>
                    <w:jc w:val="center"/>
                  </w:pPr>
                  <w:r>
                    <w:rPr>
                      <w:rFonts w:ascii="仿宋_GB2312" w:hAnsi="仿宋_GB2312" w:cs="仿宋_GB2312" w:eastAsia="仿宋_GB2312"/>
                      <w:sz w:val="24"/>
                      <w:b/>
                      <w:color w:val="000000"/>
                    </w:rPr>
                    <w:t>抗拉强度</w:t>
                  </w:r>
                  <w:r>
                    <w:rPr>
                      <w:rFonts w:ascii="仿宋_GB2312" w:hAnsi="仿宋_GB2312" w:cs="仿宋_GB2312" w:eastAsia="仿宋_GB2312"/>
                      <w:sz w:val="24"/>
                      <w:b/>
                      <w:color w:val="000000"/>
                    </w:rPr>
                    <w:t>MPa</w:t>
                  </w:r>
                  <w:r>
                    <w:rPr>
                      <w:rFonts w:ascii="仿宋_GB2312" w:hAnsi="仿宋_GB2312" w:cs="仿宋_GB2312" w:eastAsia="仿宋_GB2312"/>
                      <w:sz w:val="24"/>
                      <w:b/>
                      <w:color w:val="000000"/>
                    </w:rPr>
                    <w:t>≥</w:t>
                  </w:r>
                </w:p>
              </w:tc>
              <w:tc>
                <w:tcPr>
                  <w:tcW w:type="dxa" w:w="11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45"/>
                    <w:ind w:right="465"/>
                    <w:jc w:val="center"/>
                  </w:pPr>
                  <w:r>
                    <w:rPr>
                      <w:rFonts w:ascii="仿宋_GB2312" w:hAnsi="仿宋_GB2312" w:cs="仿宋_GB2312" w:eastAsia="仿宋_GB2312"/>
                      <w:sz w:val="24"/>
                      <w:b/>
                      <w:color w:val="000000"/>
                    </w:rPr>
                    <w:t>锌层重量</w:t>
                  </w:r>
                  <w:r>
                    <w:rPr>
                      <w:rFonts w:ascii="仿宋_GB2312" w:hAnsi="仿宋_GB2312" w:cs="仿宋_GB2312" w:eastAsia="仿宋_GB2312"/>
                      <w:sz w:val="24"/>
                      <w:b/>
                      <w:color w:val="000000"/>
                    </w:rPr>
                    <w:t>g/m2</w:t>
                  </w:r>
                  <w:r>
                    <w:rPr>
                      <w:rFonts w:ascii="仿宋_GB2312" w:hAnsi="仿宋_GB2312" w:cs="仿宋_GB2312" w:eastAsia="仿宋_GB2312"/>
                      <w:b/>
                    </w:rPr>
                    <w:t xml:space="preserve"> </w:t>
                  </w:r>
                  <w:r>
                    <w:rPr>
                      <w:rFonts w:ascii="仿宋_GB2312" w:hAnsi="仿宋_GB2312" w:cs="仿宋_GB2312" w:eastAsia="仿宋_GB2312"/>
                      <w:sz w:val="24"/>
                      <w:b/>
                      <w:color w:val="000000"/>
                    </w:rPr>
                    <w:t>热镀锌</w:t>
                  </w:r>
                </w:p>
              </w:tc>
            </w:tr>
            <w:tr>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jc w:val="center"/>
                  </w:pPr>
                  <w:r>
                    <w:rPr>
                      <w:rFonts w:ascii="仿宋_GB2312" w:hAnsi="仿宋_GB2312" w:cs="仿宋_GB2312" w:eastAsia="仿宋_GB2312"/>
                      <w:sz w:val="24"/>
                      <w:color w:val="000000"/>
                    </w:rPr>
                    <w:t>边纬线</w:t>
                  </w:r>
                </w:p>
              </w:tc>
              <w:tc>
                <w:tcPr>
                  <w:tcW w:type="dxa" w:w="8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ind w:left="675"/>
                    <w:jc w:val="both"/>
                  </w:pPr>
                  <w:r>
                    <w:rPr>
                      <w:rFonts w:ascii="仿宋_GB2312" w:hAnsi="仿宋_GB2312" w:cs="仿宋_GB2312" w:eastAsia="仿宋_GB2312"/>
                      <w:sz w:val="24"/>
                      <w:color w:val="000000"/>
                    </w:rPr>
                    <w:t>2.8±0.08</w:t>
                  </w:r>
                </w:p>
              </w:tc>
              <w:tc>
                <w:tcPr>
                  <w:tcW w:type="dxa" w:w="9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rPr>
                    <w:t xml:space="preserve"> </w:t>
                  </w:r>
                </w:p>
                <w:p>
                  <w:pPr>
                    <w:pStyle w:val="null5"/>
                    <w:spacing w:before="60"/>
                    <w:ind w:left="915"/>
                    <w:jc w:val="both"/>
                  </w:pPr>
                  <w:r>
                    <w:rPr>
                      <w:rFonts w:ascii="仿宋_GB2312" w:hAnsi="仿宋_GB2312" w:cs="仿宋_GB2312" w:eastAsia="仿宋_GB2312"/>
                      <w:sz w:val="24"/>
                      <w:color w:val="000000"/>
                    </w:rPr>
                    <w:t>900</w:t>
                  </w:r>
                </w:p>
              </w:tc>
              <w:tc>
                <w:tcPr>
                  <w:tcW w:type="dxa" w:w="11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975"/>
                    <w:jc w:val="both"/>
                  </w:pPr>
                  <w:r>
                    <w:rPr>
                      <w:rFonts w:ascii="仿宋_GB2312" w:hAnsi="仿宋_GB2312" w:cs="仿宋_GB2312" w:eastAsia="仿宋_GB2312"/>
                      <w:sz w:val="24"/>
                      <w:color w:val="000000"/>
                    </w:rPr>
                    <w:t>90</w:t>
                  </w:r>
                </w:p>
              </w:tc>
            </w:tr>
            <w:tr>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jc w:val="center"/>
                  </w:pPr>
                  <w:r>
                    <w:rPr>
                      <w:rFonts w:ascii="仿宋_GB2312" w:hAnsi="仿宋_GB2312" w:cs="仿宋_GB2312" w:eastAsia="仿宋_GB2312"/>
                      <w:sz w:val="24"/>
                      <w:color w:val="000000"/>
                    </w:rPr>
                    <w:t>中纬线</w:t>
                  </w:r>
                </w:p>
              </w:tc>
              <w:tc>
                <w:tcPr>
                  <w:tcW w:type="dxa" w:w="88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rPr>
                    <w:t xml:space="preserve"> </w:t>
                  </w:r>
                </w:p>
                <w:p>
                  <w:pPr>
                    <w:pStyle w:val="null5"/>
                    <w:spacing w:before="60"/>
                    <w:ind w:left="675"/>
                    <w:jc w:val="both"/>
                  </w:pPr>
                  <w:r>
                    <w:rPr>
                      <w:rFonts w:ascii="仿宋_GB2312" w:hAnsi="仿宋_GB2312" w:cs="仿宋_GB2312" w:eastAsia="仿宋_GB2312"/>
                      <w:sz w:val="24"/>
                      <w:color w:val="000000"/>
                    </w:rPr>
                    <w:t>2.5±0.07</w:t>
                  </w:r>
                </w:p>
              </w:tc>
              <w:tc>
                <w:tcPr>
                  <w:tcW w:type="dxa" w:w="914"/>
                  <w:vMerge/>
                  <w:tcBorders>
                    <w:top w:val="none" w:color="000000" w:sz="4"/>
                    <w:left w:val="single" w:color="000000" w:sz="4"/>
                    <w:bottom w:val="single" w:color="000000" w:sz="4"/>
                    <w:right w:val="single" w:color="000000" w:sz="4"/>
                  </w:tcBorders>
                </w:tcPr>
                <w:p/>
              </w:tc>
              <w:tc>
                <w:tcPr>
                  <w:tcW w:type="dxa" w:w="11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jc w:val="center"/>
                  </w:pPr>
                  <w:r>
                    <w:rPr>
                      <w:rFonts w:ascii="仿宋_GB2312" w:hAnsi="仿宋_GB2312" w:cs="仿宋_GB2312" w:eastAsia="仿宋_GB2312"/>
                    </w:rPr>
                    <w:t xml:space="preserve"> </w:t>
                  </w:r>
                </w:p>
                <w:p>
                  <w:pPr>
                    <w:pStyle w:val="null5"/>
                    <w:spacing w:before="60"/>
                    <w:ind w:left="975"/>
                    <w:jc w:val="both"/>
                  </w:pPr>
                  <w:r>
                    <w:rPr>
                      <w:rFonts w:ascii="仿宋_GB2312" w:hAnsi="仿宋_GB2312" w:cs="仿宋_GB2312" w:eastAsia="仿宋_GB2312"/>
                      <w:sz w:val="24"/>
                      <w:color w:val="000000"/>
                    </w:rPr>
                    <w:t>80</w:t>
                  </w:r>
                </w:p>
              </w:tc>
            </w:tr>
            <w:tr>
              <w:tc>
                <w:tcPr>
                  <w:tcW w:type="dxa" w:w="8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50"/>
                    <w:jc w:val="center"/>
                  </w:pPr>
                  <w:r>
                    <w:rPr>
                      <w:rFonts w:ascii="仿宋_GB2312" w:hAnsi="仿宋_GB2312" w:cs="仿宋_GB2312" w:eastAsia="仿宋_GB2312"/>
                      <w:sz w:val="24"/>
                      <w:color w:val="000000"/>
                    </w:rPr>
                    <w:t>经线、环扣线</w:t>
                  </w:r>
                </w:p>
              </w:tc>
              <w:tc>
                <w:tcPr>
                  <w:tcW w:type="dxa" w:w="885"/>
                  <w:vMerge/>
                  <w:tcBorders>
                    <w:top w:val="none" w:color="000000" w:sz="4"/>
                    <w:left w:val="single" w:color="000000" w:sz="4"/>
                    <w:bottom w:val="single" w:color="000000" w:sz="4"/>
                    <w:right w:val="single" w:color="000000" w:sz="4"/>
                  </w:tcBorders>
                </w:tcPr>
                <w:p/>
              </w:tc>
              <w:tc>
                <w:tcPr>
                  <w:tcW w:type="dxa" w:w="9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5"/>
                    <w:spacing w:before="165"/>
                    <w:ind w:left="930"/>
                    <w:jc w:val="both"/>
                  </w:pPr>
                  <w:r>
                    <w:rPr>
                      <w:rFonts w:ascii="仿宋_GB2312" w:hAnsi="仿宋_GB2312" w:cs="仿宋_GB2312" w:eastAsia="仿宋_GB2312"/>
                      <w:sz w:val="24"/>
                      <w:color w:val="000000"/>
                    </w:rPr>
                    <w:t>550</w:t>
                  </w:r>
                </w:p>
              </w:tc>
              <w:tc>
                <w:tcPr>
                  <w:tcW w:type="dxa" w:w="1172"/>
                  <w:vMerge/>
                  <w:tcBorders>
                    <w:top w:val="none" w:color="000000" w:sz="4"/>
                    <w:left w:val="single" w:color="000000" w:sz="4"/>
                    <w:bottom w:val="single" w:color="000000" w:sz="4"/>
                    <w:right w:val="single" w:color="000000" w:sz="4"/>
                  </w:tcBorders>
                </w:tcPr>
                <w:p/>
              </w:tc>
            </w:tr>
          </w:tbl>
          <w:p>
            <w:pPr>
              <w:pStyle w:val="null5"/>
              <w:spacing w:before="165"/>
              <w:ind w:left="135" w:right="105" w:firstLine="548"/>
              <w:jc w:val="both"/>
            </w:pPr>
            <w:r>
              <w:rPr>
                <w:rFonts w:ascii="仿宋_GB2312" w:hAnsi="仿宋_GB2312" w:cs="仿宋_GB2312" w:eastAsia="仿宋_GB2312"/>
                <w:sz w:val="24"/>
                <w:color w:val="000000"/>
              </w:rPr>
              <w:t>刺丝：钢丝，规格为</w:t>
            </w:r>
            <w:r>
              <w:rPr>
                <w:rFonts w:ascii="仿宋_GB2312" w:hAnsi="仿宋_GB2312" w:cs="仿宋_GB2312" w:eastAsia="仿宋_GB2312"/>
                <w:sz w:val="24"/>
                <w:color w:val="000000"/>
              </w:rPr>
              <w:t>91L-双2.0mm×</w:t>
            </w:r>
            <w:r>
              <w:rPr>
                <w:rFonts w:ascii="仿宋_GB2312" w:hAnsi="仿宋_GB2312" w:cs="仿宋_GB2312" w:eastAsia="仿宋_GB2312"/>
                <w:sz w:val="24"/>
                <w:color w:val="000000"/>
              </w:rPr>
              <w:t>1.6mm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，两线主筋为强丝，刺</w:t>
            </w:r>
            <w:r>
              <w:rPr>
                <w:rFonts w:ascii="仿宋_GB2312" w:hAnsi="仿宋_GB2312" w:cs="仿宋_GB2312" w:eastAsia="仿宋_GB2312"/>
                <w:sz w:val="24"/>
                <w:color w:val="000000"/>
              </w:rPr>
              <w:t>为一般铅丝，股线直径为</w:t>
            </w:r>
            <w:r>
              <w:rPr>
                <w:rFonts w:ascii="仿宋_GB2312" w:hAnsi="仿宋_GB2312" w:cs="仿宋_GB2312" w:eastAsia="仿宋_GB2312"/>
                <w:sz w:val="24"/>
                <w:color w:val="000000"/>
              </w:rPr>
              <w:t>2.0mm，刺线直径为1.6mm，刺距102±1</w:t>
            </w:r>
            <w:r>
              <w:rPr>
                <w:rFonts w:ascii="仿宋_GB2312" w:hAnsi="仿宋_GB2312" w:cs="仿宋_GB2312" w:eastAsia="仿宋_GB2312"/>
                <w:sz w:val="24"/>
                <w:color w:val="000000"/>
              </w:rPr>
              <w:t>3mm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,刺长16±3mm</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。每卷刺丝长</w:t>
            </w:r>
            <w:r>
              <w:rPr>
                <w:rFonts w:ascii="仿宋_GB2312" w:hAnsi="仿宋_GB2312" w:cs="仿宋_GB2312" w:eastAsia="仿宋_GB2312"/>
                <w:sz w:val="24"/>
                <w:color w:val="000000"/>
              </w:rPr>
              <w:t>400m。</w:t>
            </w:r>
          </w:p>
          <w:p>
            <w:pPr>
              <w:pStyle w:val="null5"/>
              <w:jc w:val="left"/>
            </w:pPr>
            <w:r>
              <w:rPr>
                <w:rFonts w:ascii="仿宋_GB2312" w:hAnsi="仿宋_GB2312" w:cs="仿宋_GB2312" w:eastAsia="仿宋_GB2312"/>
                <w:sz w:val="24"/>
                <w:color w:val="000000"/>
              </w:rPr>
              <w:t xml:space="preserve">   线桩：选用成道轨钢</w:t>
            </w:r>
            <w:r>
              <w:rPr>
                <w:rFonts w:ascii="仿宋_GB2312" w:hAnsi="仿宋_GB2312" w:cs="仿宋_GB2312" w:eastAsia="仿宋_GB2312"/>
                <w:sz w:val="24"/>
                <w:color w:val="000000"/>
              </w:rPr>
              <w:t>"Y"型柱（1900</w:t>
            </w:r>
            <w:r>
              <w:rPr>
                <w:rFonts w:ascii="仿宋_GB2312" w:hAnsi="仿宋_GB2312" w:cs="仿宋_GB2312" w:eastAsia="仿宋_GB2312"/>
                <w:sz w:val="24"/>
                <w:color w:val="000000"/>
              </w:rPr>
              <w:t>mm×25mm×25mm× 21mm</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每根重</w:t>
            </w:r>
            <w:r>
              <w:rPr>
                <w:rFonts w:ascii="仿宋_GB2312" w:hAnsi="仿宋_GB2312" w:cs="仿宋_GB2312" w:eastAsia="仿宋_GB2312"/>
                <w:sz w:val="24"/>
                <w:color w:val="000000"/>
              </w:rPr>
              <w:t>≥2.8kg</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，具备</w:t>
            </w:r>
            <w:r>
              <w:rPr>
                <w:rFonts w:ascii="仿宋_GB2312" w:hAnsi="仿宋_GB2312" w:cs="仿宋_GB2312" w:eastAsia="仿宋_GB2312"/>
                <w:sz w:val="24"/>
                <w:color w:val="000000"/>
              </w:rPr>
              <w:t>7×110×60 型网围栏的7个孔和柱顶上边10cm(网围栏上边线10cm处）1个刺丝孔，硬度≥100HB，表面不得有明显裂</w:t>
            </w:r>
            <w:r>
              <w:rPr>
                <w:rFonts w:ascii="仿宋_GB2312" w:hAnsi="仿宋_GB2312" w:cs="仿宋_GB2312" w:eastAsia="仿宋_GB2312"/>
                <w:sz w:val="24"/>
                <w:color w:val="000000"/>
              </w:rPr>
              <w:t>纹、结疤、折叠、毛刺等。</w:t>
            </w:r>
          </w:p>
        </w:tc>
      </w:tr>
    </w:tbl>
    <w:p>
      <w:pPr>
        <w:pStyle w:val="null5"/>
        <w:jc w:val="left"/>
      </w:pPr>
      <w:r>
        <w:rPr>
          <w:rFonts w:ascii="仿宋_GB2312" w:hAnsi="仿宋_GB2312" w:cs="仿宋_GB2312" w:eastAsia="仿宋_GB2312"/>
        </w:rPr>
        <w:t>标的名称：围栏安装施工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项目区围栏围封建设面积为20000亩。围栏长度为251325延长米。根据本项目实际情况进行安装施工。</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按要求进行网上投标、进行保证金缴纳。（本项目不要求）</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按要求进行网上投标、进行保证金缴纳。（本项目不要求）</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项目整体实施方案编制</w:t>
            </w:r>
          </w:p>
        </w:tc>
        <w:tc>
          <w:tcPr>
            <w:tcW w:type="dxa" w:w="3115"/>
          </w:tcPr>
          <w:p>
            <w:pPr>
              <w:pStyle w:val="null5"/>
              <w:jc w:val="left"/>
            </w:pPr>
            <w:r>
              <w:rPr>
                <w:rFonts w:ascii="仿宋_GB2312" w:hAnsi="仿宋_GB2312" w:cs="仿宋_GB2312" w:eastAsia="仿宋_GB2312"/>
              </w:rPr>
              <w:t>①项目整体实施方案编制包含但不限于服务方案与技术措施、质量管理措施、进度计划与措施、安全文明措施、应急方案措施、重点及难点措施、资源配备计划等方案，方案内容齐全，规范准确详细，无缺项、无缺陷，得8-10分。②方案中描述内容比①中缺少1或2个评审要求的或者方案不全面、不详细的得4-7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服务方案与技术措施</w:t>
            </w:r>
          </w:p>
        </w:tc>
        <w:tc>
          <w:tcPr>
            <w:tcW w:type="dxa" w:w="3115"/>
          </w:tcPr>
          <w:p>
            <w:pPr>
              <w:pStyle w:val="null5"/>
              <w:jc w:val="left"/>
            </w:pPr>
            <w:r>
              <w:rPr>
                <w:rFonts w:ascii="仿宋_GB2312" w:hAnsi="仿宋_GB2312" w:cs="仿宋_GB2312" w:eastAsia="仿宋_GB2312"/>
              </w:rPr>
              <w:t>①提供针对本项目的服务方案与技术措施包含但不限于施工准备方案、柠条沙棘的平茬施工方案、平茬后清理措施、机械运输措施、现场施工布置、护林防火等，方案内容齐全，规范准确详细，无缺项、无缺陷，得8-10分。②方案中描述内容比①中缺少1或2个评审要求的或者方案不全面、不详细的得4-7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①针对本项目的质量保障措施包含但不限于组织管理保证措施、技术标准和管理制度、施工质量保证措施等，方案内容齐全，规范准确详细，无缺项、无缺陷，得8-10分。②方案中描述内容比①中缺少1或2个评审要求的或者方案不全面、不详细的得4-7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①针对本项目的进度计划与措施包含但不限于施工进度、施工时间安排符合项目实际需求、进度目标、进度保证措施、进度控制方法等，方案内容齐全，规范准确详细，无缺项、无缺陷，得8-10分。②方案中描述内容比①中缺少1或2个评审要求的或者方案不全面、不详细的得4-7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w:t>
            </w:r>
          </w:p>
        </w:tc>
        <w:tc>
          <w:tcPr>
            <w:tcW w:type="dxa" w:w="3115"/>
          </w:tcPr>
          <w:p>
            <w:pPr>
              <w:pStyle w:val="null5"/>
              <w:jc w:val="left"/>
            </w:pPr>
            <w:r>
              <w:rPr>
                <w:rFonts w:ascii="仿宋_GB2312" w:hAnsi="仿宋_GB2312" w:cs="仿宋_GB2312" w:eastAsia="仿宋_GB2312"/>
              </w:rPr>
              <w:t>①针对本项目的安全文明措施包含但不限于安全文明目标，安全文明保障体系、现场安全文明、安全作业管理制度、设施设备安全检查方案、安全组织机构设置等，方案内容齐全，规范准确详细，无缺项、无缺陷，得7-9分。②方案中描述内容比①中缺少1或2个评审要求的或者方案不全面、不详细的得4-6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①针对本项目的环境保护措施包含但不限于天然林保护、森林防火、林业有害生物防治、废弃物处理、噪声等环境保护措施，方案内容齐全，规范准确详细，无缺项、无缺陷，得7-9分。②方案中描述内容比①中缺少1或2个评审要求的或者方案不全面、不详细的得4-6分；③方案中描述内容比①中缺少3或4个评审要求或方案较差的，得0-3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①针对本项目的资源配备计划，包含但不限于机械设备配置、劳动力配备等计划，方案内容齐全，规范准确详细，无缺项、无缺陷，得3-4分。②方案中描述内容比①中缺少1或2个评审要求的或者方案不全面、不详细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应急方案措施</w:t>
            </w:r>
          </w:p>
        </w:tc>
        <w:tc>
          <w:tcPr>
            <w:tcW w:type="dxa" w:w="3115"/>
          </w:tcPr>
          <w:p>
            <w:pPr>
              <w:pStyle w:val="null5"/>
              <w:jc w:val="left"/>
            </w:pPr>
            <w:r>
              <w:rPr>
                <w:rFonts w:ascii="仿宋_GB2312" w:hAnsi="仿宋_GB2312" w:cs="仿宋_GB2312" w:eastAsia="仿宋_GB2312"/>
              </w:rPr>
              <w:t>①针对本项目的实施过程中紧急情况的应急方案措施，包含但不限于应急处理措施、应急预防措施、抵抗风险措施、特殊天气应对措施，方案内容齐全，规范准确详细，无缺项、无缺陷，得2分。②方案中描述内容比①中缺少1或2个评审要求的或者方案不全面、不详细的得0-1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2021年1月1日至今，供应商承接过灌木林平茬类施工业绩，每提供一项得4分，最多得16分。证明材料为合同。</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项目整体实施方案编制</w:t>
            </w:r>
          </w:p>
        </w:tc>
        <w:tc>
          <w:tcPr>
            <w:tcW w:type="dxa" w:w="3115"/>
          </w:tcPr>
          <w:p>
            <w:pPr>
              <w:pStyle w:val="null5"/>
              <w:jc w:val="left"/>
            </w:pPr>
            <w:r>
              <w:rPr>
                <w:rFonts w:ascii="仿宋_GB2312" w:hAnsi="仿宋_GB2312" w:cs="仿宋_GB2312" w:eastAsia="仿宋_GB2312"/>
              </w:rPr>
              <w:t>①本项目编制的技术方案包含但不限于供货方案、质量标准及措施、项目进度安排、安全文明措施、环境保护措施、资源配备计划、应急方案等；方案中描述内容齐全、合理、详细的得6-8分，②方案中描述内容比①中缺少1或2个评审要求的或者方案不全面、不详细的得3-5分； ③方案中描述内容比①中缺少3或4个评审要求或方案较差的，得0-2分。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①针对本项目情况编制供货方案包含但不限于货物筹备、货物检验、产品包装、运输方案、供货周期、供货时间、交货地点和时间等进行阐述；内容齐全具体详实，规范准确，切实可行，无缺项、无缺陷，得6-8分，②方案中描述内容比①中缺少1或2个评审要求的或者方案不全面、不详细的得3-5分；③方案中描述内容比①中缺少3或4个评审要求或方案较差的，得0-2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投标产品质量</w:t>
            </w:r>
          </w:p>
        </w:tc>
        <w:tc>
          <w:tcPr>
            <w:tcW w:type="dxa" w:w="3115"/>
          </w:tcPr>
          <w:p>
            <w:pPr>
              <w:pStyle w:val="null5"/>
              <w:jc w:val="left"/>
            </w:pPr>
            <w:r>
              <w:rPr>
                <w:rFonts w:ascii="仿宋_GB2312" w:hAnsi="仿宋_GB2312" w:cs="仿宋_GB2312" w:eastAsia="仿宋_GB2312"/>
              </w:rPr>
              <w:t>①针对本项目围栏材料的外观检查、防腐性、焊接质量、环境适应性等方面进行阐述，内容齐全具体详实，描述全面、合理、详细的得5-6分，②方案中描述内容比①中缺少1或2个评审要求的或者方案不全面、不详细的得3-4分；③方案中描述内容比①中缺少3或4个评审要求或方案较差的，得0-2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①针对本项目情况编制质量保证措施包含但不限于产品的包装、组织管理保证措施、技术标准和管理制度、质量检查制度、施工质量保证措施等内容等进行阐述；全面详细，制度规则规范条理明晰、针对性可操作性强，无缺项、无缺陷，得6-7分，②方案中描述内容比①中缺少1或2个评审要求的或者方案不全面、不详细的得3-5分；③方案中描述内容比①中缺少3或4个评审要求或方案较差的，得0-2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项目进度安排</w:t>
            </w:r>
          </w:p>
        </w:tc>
        <w:tc>
          <w:tcPr>
            <w:tcW w:type="dxa" w:w="3115"/>
          </w:tcPr>
          <w:p>
            <w:pPr>
              <w:pStyle w:val="null5"/>
              <w:jc w:val="left"/>
            </w:pPr>
            <w:r>
              <w:rPr>
                <w:rFonts w:ascii="仿宋_GB2312" w:hAnsi="仿宋_GB2312" w:cs="仿宋_GB2312" w:eastAsia="仿宋_GB2312"/>
              </w:rPr>
              <w:t>①针对本项目情况编制项目进度安排包含但不限于进度时间安排符合项目实际需求、进度安排保证措施如人力资源安排、货源组织调配、网围栏材料的运输组织及时间安排、网围栏施工安装的进度安排等进行阐述，内容全面详细，进度安排切合实际，措施可行保障有力，无缺项、无缺陷，得6-7分，②方案中描述内容比①中缺少1或2个评审要求的或者方案不全面、不详细的得3-5分；③方案中描述内容比①中缺少3或4个评审要求或方案较差的，得0-2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w:t>
            </w:r>
          </w:p>
        </w:tc>
        <w:tc>
          <w:tcPr>
            <w:tcW w:type="dxa" w:w="3115"/>
          </w:tcPr>
          <w:p>
            <w:pPr>
              <w:pStyle w:val="null5"/>
              <w:jc w:val="left"/>
            </w:pPr>
            <w:r>
              <w:rPr>
                <w:rFonts w:ascii="仿宋_GB2312" w:hAnsi="仿宋_GB2312" w:cs="仿宋_GB2312" w:eastAsia="仿宋_GB2312"/>
              </w:rPr>
              <w:t>①针对本项目的安全文明措施包含但不限于安全文明目标，安全文明保障体系、现场安全文明、安全作业管理制度、设施设备安全检查方案、安全组织机构设置等，方案内容齐全，规范准确详细，无缺项、无缺陷，得4-5分。②方案中描述内容比①中缺少1或2个评审要求的或者方案不全面、不详细的得2-3分；③方案中描述内容比①中缺少3或4个评审要求或方案较差的，得0-1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环境保护措施</w:t>
            </w:r>
          </w:p>
        </w:tc>
        <w:tc>
          <w:tcPr>
            <w:tcW w:type="dxa" w:w="3115"/>
          </w:tcPr>
          <w:p>
            <w:pPr>
              <w:pStyle w:val="null5"/>
              <w:jc w:val="left"/>
            </w:pPr>
            <w:r>
              <w:rPr>
                <w:rFonts w:ascii="仿宋_GB2312" w:hAnsi="仿宋_GB2312" w:cs="仿宋_GB2312" w:eastAsia="仿宋_GB2312"/>
              </w:rPr>
              <w:t>①针对本项目的环境保护措施包含但不限于天然林保护、森林防火、废弃物处理、噪声等环境保护措施，方案内容齐全，规范准确详细，无缺项、无缺陷，得4-5分。②方案中描述内容比①中缺少1或2个评审要求的或者方案不全面、不详细的得2-3分；③方案中描述内容比①中缺少3或4个评审要求或方案较差的，得0-1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①针对本项目的资源配备计划，包含但不限于机械设备配置、劳动力配备等计划，方案内容齐全，规范准确详细，无缺项、无缺陷，得3-4分。②方案中描述内容比①中缺少1或2个评审要求的或者方案不全面、不详细的得0-2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①针对本项目情况编制的应急方案包含但不限于针对各种突发事件的应急预案 、应急响应、应急保障、处置程序、退换货方案、应急承诺等进行阐述，内容全面详细，方案制定规范准确，措施得当可操作性强，无缺项、无缺陷，得4分，②方案中描述内容比①中缺少1或2个评审要求的或者方案不全面、不详细的得2-3分；③方案中描述内容比①中缺少3或4个评审要求或方案较差的，得0-1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2021年1月1日至今，供应商承接过围栏材料销售业绩或围栏施工的业绩，每提供一项得4分，最多得16分。证明材料为合同。</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