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内蒙古自治区锡林郭勒盟正镶白旗2024年三北工程林草湿荒一体化保护修复项目灌木林平茬</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正镶白旗林业草原和水利局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耀鸿（内蒙古）项目管理有限公司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152529-152529-GK-20250001</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耀鸿（内蒙古）项目管理有限公司</w:t>
      </w:r>
      <w:r>
        <w:rPr>
          <w:rFonts w:ascii="仿宋_GB2312" w:hAnsi="仿宋_GB2312" w:cs="仿宋_GB2312" w:eastAsia="仿宋_GB2312"/>
        </w:rPr>
        <w:t xml:space="preserve"> 受 </w:t>
      </w:r>
      <w:r>
        <w:rPr>
          <w:rFonts w:ascii="仿宋_GB2312" w:hAnsi="仿宋_GB2312" w:cs="仿宋_GB2312" w:eastAsia="仿宋_GB2312"/>
        </w:rPr>
        <w:t>正镶白旗林业草原和水利局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内蒙古自治区锡林郭勒盟正镶白旗2024年三北工程林草湿荒一体化保护修复项目灌木林平茬</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内蒙古自治区锡林郭勒盟正镶白旗2024年三北工程林草湿荒一体化保护修复项目灌木林平茬</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152529-152529-GK-20250001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正白政采计划[2025]00047</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1,650,900.00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内蒙古自治区锡林郭勒盟正镶白旗2024年 三北工程林草湿荒一体化保护修复项目——灌木林平茬</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1,650,900.00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本项目采用“不见面开标”模式进行开标(投标人无需到达开标现场，开标当日在投标截止时间前登录”内蒙古自治区政府采购网-政府采购云平台"参加远程开标)。请投标人使用投标客户端严格按照招标文件的相关要求制作和上传电子投标文，并按照相关要求参加开标。</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耀鸿（内蒙古）项目管理有限公司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内蒙古自治区呼和浩特市玉泉区昭君路以东、乌海东街俩侧大盛魁文化创意产业园二期3栋4单位503号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010010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闫经理</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15754856629</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正镶白旗林业草原和水利局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正镶白旗明安图镇开发区</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024000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韩站长</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13514790860</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代理服务费收费标准：参照内工建协【2022】34号文件收取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为内蒙古自治区锡林郭勒盟正镶白旗2024年三北工程林草湿荒一体化保护修复项目——灌木林平茬（二次）包3的重新招标，执行兼投不兼中，若投标人在内蒙古自治区锡林郭勒盟正镶白旗2024年三北工程林草湿荒一体化保护修复项目——灌木林平茬 （二次）招标中存在中标情形，则本次招标将不具有候选人推荐资格。</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本项目报价采用工程量清单总价报价，根据相关文件要求投标报价中须包含管护费，管护费为10元/亩/年，管护期2年。</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正镶白旗林业草原和水利局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耀鸿（内蒙古）项目管理有限公司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正镶白旗自2000年启动实施京津风沙源治理工程以来，通过集中连片、点面结合、综合治理和禁牧、休牧、划区轮牧、生态移民等一系列配套政策的落实，全旗生态环境恶化的趋势得到初步遏制。但是，旗境内局部区域草原退化、沙化较明显，自我修复能力较低，草原生态系统整体仍较脆弱，生态系统功能问题突出。 2024年7月至9月，对退化草原区进行了实地勘察，宝力根陶海苏木、明安图镇为低山丘陵草原区修复面积共计16874亩，草场主要类型是克氏针茅、冷蒿、羊草型；土壤以栗钙土为主，平均高度7-10厘米，平均盖度35%以下，产草量18-35公斤/亩。 伊和淖尔苏木、乌兰察布苏木地处浑善达克沙地南缘，土壤类型以风积沙、流沙为主修复面积共计73126亩，草场主要类型是具小叶锦鸡儿、沙鞭型的沙地沙丘植被类，平均高度5-25 厘米，平均盖度25%以下，产草量15-26公斤/亩，草场呈现明显退化趋势，草地植物种类和数量减少。 根据《天然草地退化、沙化、盐渍化的分级指标GB19377-2003》和实际勘察结果，将项目区划分为中、重度沙化放牧场生态修复治理区。 灌木林平茬作业涉及2个乡镇，乌兰查布苏木0.8万亩，伊和淖尔苏木1.6万亩。</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合同签订后30个日历天，具体以合同签订为准。</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招标人要求地点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 工程量全部完工支付60%，达到付款条件起10日，支付合同总金额的60.00%</w:t>
            </w:r>
          </w:p>
          <w:p>
            <w:pPr>
              <w:pStyle w:val="null5"/>
              <w:jc w:val="left"/>
            </w:pPr>
            <w:r>
              <w:rPr>
                <w:rFonts w:ascii="仿宋_GB2312" w:hAnsi="仿宋_GB2312" w:cs="仿宋_GB2312" w:eastAsia="仿宋_GB2312"/>
              </w:rPr>
              <w:t>2、验收合格后支付40%，达到付款条件起10日，支付合同总金额的40.00%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缴纳比例：10</w:t>
            </w:r>
          </w:p>
          <w:p>
            <w:pPr>
              <w:pStyle w:val="null5"/>
              <w:jc w:val="left"/>
            </w:pPr>
            <w:r>
              <w:rPr>
                <w:rFonts w:ascii="仿宋_GB2312" w:hAnsi="仿宋_GB2312" w:cs="仿宋_GB2312" w:eastAsia="仿宋_GB2312"/>
              </w:rPr>
              <w:t>缴纳说明：履约担保的金额：不超过中标金额的10%，最终以双方签订合同为准。</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标的名称：内蒙古自治区锡林郭勒盟正镶白旗2024年 三北工程林草湿荒一体化保护修复项目——灌木林平茬</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ind w:firstLine="486"/>
              <w:jc w:val="center"/>
            </w:pP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灌木林平茬施工</w:t>
            </w:r>
            <w:r>
              <w:rPr>
                <w:rFonts w:ascii="仿宋_GB2312" w:hAnsi="仿宋_GB2312" w:cs="仿宋_GB2312" w:eastAsia="仿宋_GB2312"/>
                <w:sz w:val="24"/>
                <w:b/>
                <w:color w:val="000000"/>
              </w:rPr>
              <w:t>要求</w:t>
            </w:r>
          </w:p>
          <w:p>
            <w:pPr>
              <w:pStyle w:val="null5"/>
              <w:ind w:firstLine="484"/>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.1建设规模</w:t>
            </w:r>
          </w:p>
          <w:p>
            <w:pPr>
              <w:pStyle w:val="null5"/>
              <w:ind w:firstLine="484"/>
              <w:jc w:val="both"/>
            </w:pPr>
            <w:r>
              <w:rPr>
                <w:rFonts w:ascii="仿宋_GB2312" w:hAnsi="仿宋_GB2312" w:cs="仿宋_GB2312" w:eastAsia="仿宋_GB2312"/>
                <w:sz w:val="24"/>
                <w:color w:val="000000"/>
              </w:rPr>
              <w:t>灌木林平茬：总面积</w:t>
            </w:r>
            <w:r>
              <w:rPr>
                <w:rFonts w:ascii="仿宋_GB2312" w:hAnsi="仿宋_GB2312" w:cs="仿宋_GB2312" w:eastAsia="仿宋_GB2312"/>
                <w:sz w:val="24"/>
                <w:color w:val="000000"/>
              </w:rPr>
              <w:t>2.4万亩，其中乌兰查布苏木0.8万亩，伊和淖尔苏木 1.6万亩。</w:t>
            </w:r>
          </w:p>
          <w:p>
            <w:pPr>
              <w:pStyle w:val="null5"/>
              <w:ind w:firstLine="484"/>
              <w:jc w:val="both"/>
            </w:pPr>
            <w:r>
              <w:rPr>
                <w:rFonts w:ascii="仿宋_GB2312" w:hAnsi="仿宋_GB2312" w:cs="仿宋_GB2312" w:eastAsia="仿宋_GB2312"/>
                <w:sz w:val="24"/>
                <w:color w:val="000000"/>
              </w:rPr>
              <w:t>建设期限：建设期</w:t>
            </w:r>
            <w:r>
              <w:rPr>
                <w:rFonts w:ascii="仿宋_GB2312" w:hAnsi="仿宋_GB2312" w:cs="仿宋_GB2312" w:eastAsia="仿宋_GB2312"/>
                <w:sz w:val="24"/>
                <w:color w:val="000000"/>
              </w:rPr>
              <w:t>1年。</w:t>
            </w:r>
          </w:p>
          <w:p>
            <w:pPr>
              <w:pStyle w:val="null5"/>
              <w:ind w:firstLine="484"/>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.2项目区概况</w:t>
            </w:r>
          </w:p>
          <w:p>
            <w:pPr>
              <w:pStyle w:val="null5"/>
              <w:ind w:firstLine="484"/>
              <w:jc w:val="both"/>
            </w:pPr>
            <w:r>
              <w:rPr>
                <w:rFonts w:ascii="仿宋_GB2312" w:hAnsi="仿宋_GB2312" w:cs="仿宋_GB2312" w:eastAsia="仿宋_GB2312"/>
                <w:sz w:val="24"/>
                <w:color w:val="000000"/>
              </w:rPr>
              <w:t>调查范围为锡林郭勒盟正镶白旗</w:t>
            </w:r>
            <w:r>
              <w:rPr>
                <w:rFonts w:ascii="仿宋_GB2312" w:hAnsi="仿宋_GB2312" w:cs="仿宋_GB2312" w:eastAsia="仿宋_GB2312"/>
                <w:sz w:val="24"/>
                <w:color w:val="000000"/>
              </w:rPr>
              <w:t>乌兰察布</w:t>
            </w:r>
            <w:r>
              <w:rPr>
                <w:rFonts w:ascii="仿宋_GB2312" w:hAnsi="仿宋_GB2312" w:cs="仿宋_GB2312" w:eastAsia="仿宋_GB2312"/>
                <w:sz w:val="24"/>
                <w:color w:val="000000"/>
              </w:rPr>
              <w:t>苏木赛音宝拉嘎查、夏日嘎淖尔嘎查；伊和淖尔苏木巴彦辉苏嘎查、宝日温都尔嘎查、博日和斯台嘎查、查干乌拉嘎查、柴达木嘎查、高日罕嘎查、哈日毛都嘎查、胡鲁斯台淖尔嘎查。项目区位于正镶白旗浑善达克沙地境内，植被以灌木和沙地草本植物为主，灌木高度</w:t>
            </w:r>
            <w:r>
              <w:rPr>
                <w:rFonts w:ascii="仿宋_GB2312" w:hAnsi="仿宋_GB2312" w:cs="仿宋_GB2312" w:eastAsia="仿宋_GB2312"/>
                <w:sz w:val="24"/>
                <w:color w:val="000000"/>
              </w:rPr>
              <w:t>1.5-3米，盖度40%以上，以丛状为主，枝条木质化严重，灌丛周边分布有芦苇、披碱草、冷蒿等草本植物。</w:t>
            </w:r>
          </w:p>
          <w:p>
            <w:pPr>
              <w:pStyle w:val="null5"/>
              <w:ind w:firstLine="480"/>
              <w:jc w:val="left"/>
            </w:pPr>
            <w:r>
              <w:rPr>
                <w:rFonts w:ascii="仿宋_GB2312" w:hAnsi="仿宋_GB2312" w:cs="仿宋_GB2312" w:eastAsia="仿宋_GB2312"/>
                <w:sz w:val="24"/>
              </w:rPr>
              <w:t>1</w:t>
            </w:r>
            <w:r>
              <w:rPr>
                <w:rFonts w:ascii="仿宋_GB2312" w:hAnsi="仿宋_GB2312" w:cs="仿宋_GB2312" w:eastAsia="仿宋_GB2312"/>
                <w:sz w:val="24"/>
              </w:rPr>
              <w:t>.3平茬</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）平茬树种：锦鸡儿、灌柳</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）平茬时间：土壤封冻时期，一般为</w:t>
            </w:r>
            <w:r>
              <w:rPr>
                <w:rFonts w:ascii="仿宋_GB2312" w:hAnsi="仿宋_GB2312" w:cs="仿宋_GB2312" w:eastAsia="仿宋_GB2312"/>
                <w:sz w:val="24"/>
              </w:rPr>
              <w:t>11月上旬到次年3月下旬。</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）平茬周期：</w:t>
            </w:r>
            <w:r>
              <w:rPr>
                <w:rFonts w:ascii="仿宋_GB2312" w:hAnsi="仿宋_GB2312" w:cs="仿宋_GB2312" w:eastAsia="仿宋_GB2312"/>
                <w:sz w:val="24"/>
              </w:rPr>
              <w:t>4~5年。</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）平茬方式及强度：带状平茬。</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5）平茬宽度25米，保留带宽度75米。平茬强度为25%。</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）平茬作业方法：根据现地调查，作业区地形均较平坦，可选择大中型机械、小型割灌机平茬，平茬时保持茬口平滑，无劈茬裂口，并对于每个灌从进行全面刈割，避免漏割枝条，留茬不高于</w:t>
            </w:r>
            <w:r>
              <w:rPr>
                <w:rFonts w:ascii="仿宋_GB2312" w:hAnsi="仿宋_GB2312" w:cs="仿宋_GB2312" w:eastAsia="仿宋_GB2312"/>
                <w:sz w:val="24"/>
              </w:rPr>
              <w:t>5厘米，平茬时间在土壤封冻时期，11月下旬到次年3月上旬。初始平茬年龄5 年以上。</w:t>
            </w:r>
          </w:p>
          <w:p>
            <w:pPr>
              <w:pStyle w:val="null5"/>
              <w:ind w:firstLine="482"/>
              <w:jc w:val="both"/>
            </w:pPr>
            <w:r>
              <w:rPr>
                <w:rFonts w:ascii="仿宋_GB2312" w:hAnsi="仿宋_GB2312" w:cs="仿宋_GB2312" w:eastAsia="仿宋_GB2312"/>
                <w:sz w:val="24"/>
                <w:b/>
                <w:color w:val="0000FF"/>
              </w:rPr>
              <w:t>（</w:t>
            </w:r>
            <w:r>
              <w:rPr>
                <w:rFonts w:ascii="仿宋_GB2312" w:hAnsi="仿宋_GB2312" w:cs="仿宋_GB2312" w:eastAsia="仿宋_GB2312"/>
                <w:sz w:val="24"/>
                <w:b/>
                <w:color w:val="0000FF"/>
              </w:rPr>
              <w:t>7</w:t>
            </w:r>
            <w:r>
              <w:rPr>
                <w:rFonts w:ascii="仿宋_GB2312" w:hAnsi="仿宋_GB2312" w:cs="仿宋_GB2312" w:eastAsia="仿宋_GB2312"/>
                <w:sz w:val="24"/>
                <w:b/>
                <w:color w:val="0000FF"/>
              </w:rPr>
              <w:t>）作业后管理</w:t>
            </w:r>
          </w:p>
          <w:p>
            <w:pPr>
              <w:pStyle w:val="null5"/>
              <w:ind w:firstLine="482"/>
              <w:jc w:val="both"/>
            </w:pPr>
            <w:r>
              <w:rPr>
                <w:rFonts w:ascii="仿宋_GB2312" w:hAnsi="仿宋_GB2312" w:cs="仿宋_GB2312" w:eastAsia="仿宋_GB2312"/>
                <w:sz w:val="24"/>
                <w:b/>
                <w:color w:val="0000FF"/>
              </w:rPr>
              <w:t>平茬后应及时进行林地清理，平茬枝条归牧户所有，请求牧户要求后，如果牧户不要，施工单位直接将平茬枝条集中运出作业区，平茬后严格实行禁牧期</w:t>
            </w:r>
            <w:r>
              <w:rPr>
                <w:rFonts w:ascii="仿宋_GB2312" w:hAnsi="仿宋_GB2312" w:cs="仿宋_GB2312" w:eastAsia="仿宋_GB2312"/>
                <w:sz w:val="24"/>
                <w:b/>
                <w:color w:val="0000FF"/>
              </w:rPr>
              <w:t>2年，费用为10元</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亩</w:t>
            </w:r>
            <w:r>
              <w:rPr>
                <w:rFonts w:ascii="仿宋_GB2312" w:hAnsi="仿宋_GB2312" w:cs="仿宋_GB2312" w:eastAsia="仿宋_GB2312"/>
                <w:sz w:val="24"/>
                <w:b/>
                <w:color w:val="0000FF"/>
              </w:rPr>
              <w:t>/年</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本项目投标报价须包含管护费用</w:t>
            </w:r>
            <w:r>
              <w:rPr>
                <w:rFonts w:ascii="仿宋_GB2312" w:hAnsi="仿宋_GB2312" w:cs="仿宋_GB2312" w:eastAsia="仿宋_GB2312"/>
                <w:sz w:val="24"/>
                <w:color w:val="0000FF"/>
              </w:rPr>
              <w:t>。</w:t>
            </w:r>
          </w:p>
          <w:p>
            <w:pPr>
              <w:pStyle w:val="null5"/>
              <w:spacing w:before="120" w:after="240"/>
              <w:ind w:firstLine="480"/>
              <w:jc w:val="both"/>
            </w:pPr>
            <w:r>
              <w:rPr>
                <w:rFonts w:ascii="仿宋_GB2312" w:hAnsi="仿宋_GB2312" w:cs="仿宋_GB2312" w:eastAsia="仿宋_GB2312"/>
              </w:rPr>
              <w:t xml:space="preserve"> </w:t>
            </w:r>
          </w:p>
          <w:p>
            <w:pPr>
              <w:pStyle w:val="null5"/>
              <w:ind w:firstLine="482"/>
              <w:jc w:val="center"/>
            </w:pPr>
            <w:r>
              <w:rPr>
                <w:rFonts w:ascii="仿宋_GB2312" w:hAnsi="仿宋_GB2312" w:cs="仿宋_GB2312" w:eastAsia="仿宋_GB2312"/>
                <w:sz w:val="24"/>
                <w:b/>
              </w:rPr>
              <w:t>网围栏</w:t>
            </w:r>
            <w:r>
              <w:rPr>
                <w:rFonts w:ascii="仿宋_GB2312" w:hAnsi="仿宋_GB2312" w:cs="仿宋_GB2312" w:eastAsia="仿宋_GB2312"/>
                <w:sz w:val="24"/>
                <w:b/>
              </w:rPr>
              <w:t>技术服务要求</w:t>
            </w:r>
          </w:p>
          <w:p>
            <w:pPr>
              <w:pStyle w:val="null5"/>
              <w:ind w:firstLine="482"/>
              <w:jc w:val="both"/>
            </w:pPr>
            <w:r>
              <w:rPr>
                <w:rFonts w:ascii="仿宋_GB2312" w:hAnsi="仿宋_GB2312" w:cs="仿宋_GB2312" w:eastAsia="仿宋_GB2312"/>
                <w:sz w:val="24"/>
                <w:b/>
              </w:rPr>
              <w:t>1、</w:t>
            </w:r>
            <w:r>
              <w:rPr>
                <w:rFonts w:ascii="仿宋_GB2312" w:hAnsi="仿宋_GB2312" w:cs="仿宋_GB2312" w:eastAsia="仿宋_GB2312"/>
                <w:sz w:val="24"/>
                <w:b/>
              </w:rPr>
              <w:t>质量标准</w:t>
            </w:r>
          </w:p>
          <w:p>
            <w:pPr>
              <w:pStyle w:val="null5"/>
              <w:ind w:firstLine="480"/>
              <w:jc w:val="both"/>
            </w:pPr>
            <w:r>
              <w:rPr>
                <w:rFonts w:ascii="仿宋_GB2312" w:hAnsi="仿宋_GB2312" w:cs="仿宋_GB2312" w:eastAsia="仿宋_GB2312"/>
                <w:sz w:val="24"/>
              </w:rPr>
              <w:t>围栏建设参照农业行业标准</w:t>
            </w:r>
            <w:r>
              <w:rPr>
                <w:rFonts w:ascii="仿宋_GB2312" w:hAnsi="仿宋_GB2312" w:cs="仿宋_GB2312" w:eastAsia="仿宋_GB2312"/>
                <w:sz w:val="24"/>
              </w:rPr>
              <w:t>NY/T1237-2006《草原围栏建设技术规程》。依据当地的地形、地貌、土壤条件确定围栏材料，并且所有角钢钢材材质要求需达到国家质量标准要求。</w:t>
            </w:r>
          </w:p>
          <w:p>
            <w:pPr>
              <w:pStyle w:val="null5"/>
              <w:ind w:firstLine="482"/>
              <w:jc w:val="both"/>
            </w:pPr>
            <w:r>
              <w:rPr>
                <w:rFonts w:ascii="仿宋_GB2312" w:hAnsi="仿宋_GB2312" w:cs="仿宋_GB2312" w:eastAsia="仿宋_GB2312"/>
                <w:sz w:val="24"/>
                <w:b/>
              </w:rPr>
              <w:t>2、</w:t>
            </w:r>
            <w:r>
              <w:rPr>
                <w:rFonts w:ascii="仿宋_GB2312" w:hAnsi="仿宋_GB2312" w:cs="仿宋_GB2312" w:eastAsia="仿宋_GB2312"/>
                <w:sz w:val="24"/>
                <w:b/>
              </w:rPr>
              <w:t xml:space="preserve"> </w:t>
            </w:r>
            <w:r>
              <w:rPr>
                <w:rFonts w:ascii="仿宋_GB2312" w:hAnsi="仿宋_GB2312" w:cs="仿宋_GB2312" w:eastAsia="仿宋_GB2312"/>
                <w:sz w:val="24"/>
                <w:b/>
              </w:rPr>
              <w:t>围栏组成</w:t>
            </w:r>
          </w:p>
          <w:p>
            <w:pPr>
              <w:pStyle w:val="null5"/>
              <w:ind w:firstLine="480"/>
              <w:jc w:val="both"/>
            </w:pPr>
            <w:r>
              <w:rPr>
                <w:rFonts w:ascii="仿宋_GB2312" w:hAnsi="仿宋_GB2312" w:cs="仿宋_GB2312" w:eastAsia="仿宋_GB2312"/>
                <w:sz w:val="24"/>
              </w:rPr>
              <w:t>网片、刺丝、线桩、加强桩、转角桩、门桩、围栏门、绑丝等。全部材料都要经过监理人员签字后才能使用。围栏网片及其零部件要符合</w:t>
            </w:r>
            <w:r>
              <w:rPr>
                <w:rFonts w:ascii="仿宋_GB2312" w:hAnsi="仿宋_GB2312" w:cs="仿宋_GB2312" w:eastAsia="仿宋_GB2312"/>
                <w:sz w:val="24"/>
              </w:rPr>
              <w:t>ZBB92005《缠绕式镀锌钢丝网围栏》，并附质量监督部门颁发的生产许可证及产品合格证，所有材料均送至有资质第三方检测合格后方可使用。</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b/>
              </w:rPr>
              <w:t>3、</w:t>
            </w:r>
            <w:r>
              <w:rPr>
                <w:rFonts w:ascii="仿宋_GB2312" w:hAnsi="仿宋_GB2312" w:cs="仿宋_GB2312" w:eastAsia="仿宋_GB2312"/>
                <w:sz w:val="24"/>
                <w:b/>
              </w:rPr>
              <w:t xml:space="preserve"> </w:t>
            </w:r>
            <w:r>
              <w:rPr>
                <w:rFonts w:ascii="仿宋_GB2312" w:hAnsi="仿宋_GB2312" w:cs="仿宋_GB2312" w:eastAsia="仿宋_GB2312"/>
                <w:sz w:val="24"/>
                <w:b/>
              </w:rPr>
              <w:t>规格要求</w:t>
            </w:r>
          </w:p>
          <w:p>
            <w:pPr>
              <w:pStyle w:val="null5"/>
              <w:ind w:firstLine="482"/>
              <w:jc w:val="both"/>
            </w:pPr>
            <w:r>
              <w:rPr>
                <w:rFonts w:ascii="仿宋_GB2312" w:hAnsi="仿宋_GB2312" w:cs="仿宋_GB2312" w:eastAsia="仿宋_GB2312"/>
                <w:sz w:val="24"/>
                <w:b/>
              </w:rPr>
              <w:t>3.1</w:t>
            </w:r>
            <w:r>
              <w:rPr>
                <w:rFonts w:ascii="仿宋_GB2312" w:hAnsi="仿宋_GB2312" w:cs="仿宋_GB2312" w:eastAsia="仿宋_GB2312"/>
                <w:sz w:val="24"/>
                <w:b/>
              </w:rPr>
              <w:t>围栏网片</w:t>
            </w:r>
            <w:r>
              <w:rPr>
                <w:rFonts w:ascii="仿宋_GB2312" w:hAnsi="仿宋_GB2312" w:cs="仿宋_GB2312" w:eastAsia="仿宋_GB2312"/>
                <w:sz w:val="24"/>
                <w:b/>
              </w:rPr>
              <w:t>：</w:t>
            </w:r>
          </w:p>
          <w:p>
            <w:pPr>
              <w:pStyle w:val="null5"/>
              <w:ind w:firstLine="480"/>
              <w:jc w:val="both"/>
            </w:pPr>
            <w:r>
              <w:rPr>
                <w:rFonts w:ascii="仿宋_GB2312" w:hAnsi="仿宋_GB2312" w:cs="仿宋_GB2312" w:eastAsia="仿宋_GB2312"/>
                <w:sz w:val="24"/>
              </w:rPr>
              <w:t>①</w:t>
            </w:r>
            <w:r>
              <w:rPr>
                <w:rFonts w:ascii="仿宋_GB2312" w:hAnsi="仿宋_GB2312" w:cs="仿宋_GB2312" w:eastAsia="仿宋_GB2312"/>
                <w:sz w:val="24"/>
              </w:rPr>
              <w:t>采用</w:t>
            </w:r>
            <w:r>
              <w:rPr>
                <w:rFonts w:ascii="仿宋_GB2312" w:hAnsi="仿宋_GB2312" w:cs="仿宋_GB2312" w:eastAsia="仿宋_GB2312"/>
                <w:sz w:val="24"/>
              </w:rPr>
              <w:t>7×110×60型热镀锌网围栏，即网宽1100mm</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②</w:t>
            </w:r>
            <w:r>
              <w:rPr>
                <w:rFonts w:ascii="仿宋_GB2312" w:hAnsi="仿宋_GB2312" w:cs="仿宋_GB2312" w:eastAsia="仿宋_GB2312"/>
                <w:sz w:val="24"/>
              </w:rPr>
              <w:t>纬线</w:t>
            </w:r>
            <w:r>
              <w:rPr>
                <w:rFonts w:ascii="仿宋_GB2312" w:hAnsi="仿宋_GB2312" w:cs="仿宋_GB2312" w:eastAsia="仿宋_GB2312"/>
                <w:sz w:val="24"/>
              </w:rPr>
              <w:t>7根，经线间距600mm，自上而下相邻两纬线间距200、200、180、180、180、160mm</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③</w:t>
            </w:r>
            <w:r>
              <w:rPr>
                <w:rFonts w:ascii="仿宋_GB2312" w:hAnsi="仿宋_GB2312" w:cs="仿宋_GB2312" w:eastAsia="仿宋_GB2312"/>
                <w:sz w:val="24"/>
              </w:rPr>
              <w:t>边纬钢丝公称直径</w:t>
            </w:r>
            <w:r>
              <w:rPr>
                <w:rFonts w:ascii="仿宋_GB2312" w:hAnsi="仿宋_GB2312" w:cs="仿宋_GB2312" w:eastAsia="仿宋_GB2312"/>
                <w:sz w:val="24"/>
              </w:rPr>
              <w:t>2.8mm，热镀锌边纬线≥90g/㎡</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④</w:t>
            </w:r>
            <w:r>
              <w:rPr>
                <w:rFonts w:ascii="仿宋_GB2312" w:hAnsi="仿宋_GB2312" w:cs="仿宋_GB2312" w:eastAsia="仿宋_GB2312"/>
                <w:sz w:val="24"/>
              </w:rPr>
              <w:t>中纬和经线钢丝公称直径</w:t>
            </w:r>
            <w:r>
              <w:rPr>
                <w:rFonts w:ascii="仿宋_GB2312" w:hAnsi="仿宋_GB2312" w:cs="仿宋_GB2312" w:eastAsia="仿宋_GB2312"/>
                <w:sz w:val="24"/>
              </w:rPr>
              <w:t>2.5mm，热镀锌≥</w:t>
            </w:r>
            <w:r>
              <w:rPr>
                <w:rFonts w:ascii="仿宋_GB2312" w:hAnsi="仿宋_GB2312" w:cs="仿宋_GB2312" w:eastAsia="仿宋_GB2312"/>
                <w:sz w:val="24"/>
              </w:rPr>
              <w:t>80</w:t>
            </w:r>
            <w:r>
              <w:rPr>
                <w:rFonts w:ascii="仿宋_GB2312" w:hAnsi="仿宋_GB2312" w:cs="仿宋_GB2312" w:eastAsia="仿宋_GB2312"/>
                <w:sz w:val="24"/>
              </w:rPr>
              <w:t>g/㎡</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⑤</w:t>
            </w:r>
            <w:r>
              <w:rPr>
                <w:rFonts w:ascii="仿宋_GB2312" w:hAnsi="仿宋_GB2312" w:cs="仿宋_GB2312" w:eastAsia="仿宋_GB2312"/>
                <w:sz w:val="24"/>
              </w:rPr>
              <w:t>每捆长度为</w:t>
            </w:r>
            <w:r>
              <w:rPr>
                <w:rFonts w:ascii="仿宋_GB2312" w:hAnsi="仿宋_GB2312" w:cs="仿宋_GB2312" w:eastAsia="仿宋_GB2312"/>
                <w:sz w:val="24"/>
              </w:rPr>
              <w:t>200m</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⑥</w:t>
            </w:r>
            <w:r>
              <w:rPr>
                <w:rFonts w:ascii="仿宋_GB2312" w:hAnsi="仿宋_GB2312" w:cs="仿宋_GB2312" w:eastAsia="仿宋_GB2312"/>
                <w:sz w:val="24"/>
              </w:rPr>
              <w:t>每捆重量为</w:t>
            </w:r>
            <w:r>
              <w:rPr>
                <w:rFonts w:ascii="仿宋_GB2312" w:hAnsi="仿宋_GB2312" w:cs="仿宋_GB2312" w:eastAsia="仿宋_GB2312"/>
                <w:sz w:val="24"/>
              </w:rPr>
              <w:t>75kg</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⑦</w:t>
            </w:r>
            <w:r>
              <w:rPr>
                <w:rFonts w:ascii="仿宋_GB2312" w:hAnsi="仿宋_GB2312" w:cs="仿宋_GB2312" w:eastAsia="仿宋_GB2312"/>
                <w:sz w:val="24"/>
              </w:rPr>
              <w:t>边纬线和中纬线抗拉强度</w:t>
            </w:r>
            <w:r>
              <w:rPr>
                <w:rFonts w:ascii="仿宋_GB2312" w:hAnsi="仿宋_GB2312" w:cs="仿宋_GB2312" w:eastAsia="仿宋_GB2312"/>
                <w:sz w:val="24"/>
              </w:rPr>
              <w:t>≥900Mpa</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⑧</w:t>
            </w:r>
            <w:r>
              <w:rPr>
                <w:rFonts w:ascii="仿宋_GB2312" w:hAnsi="仿宋_GB2312" w:cs="仿宋_GB2312" w:eastAsia="仿宋_GB2312"/>
                <w:sz w:val="24"/>
              </w:rPr>
              <w:t>经线抗拉强度</w:t>
            </w:r>
            <w:r>
              <w:rPr>
                <w:rFonts w:ascii="仿宋_GB2312" w:hAnsi="仿宋_GB2312" w:cs="仿宋_GB2312" w:eastAsia="仿宋_GB2312"/>
                <w:sz w:val="24"/>
              </w:rPr>
              <w:t>≥550Mpa以上</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⑨</w:t>
            </w:r>
            <w:r>
              <w:rPr>
                <w:rFonts w:ascii="仿宋_GB2312" w:hAnsi="仿宋_GB2312" w:cs="仿宋_GB2312" w:eastAsia="仿宋_GB2312"/>
                <w:sz w:val="24"/>
              </w:rPr>
              <w:t>钢丝缠绕试验钢丝不断裂。</w:t>
            </w:r>
          </w:p>
          <w:p>
            <w:pPr>
              <w:pStyle w:val="null5"/>
              <w:ind w:firstLine="482"/>
              <w:jc w:val="both"/>
            </w:pPr>
            <w:r>
              <w:rPr>
                <w:rFonts w:ascii="仿宋_GB2312" w:hAnsi="仿宋_GB2312" w:cs="仿宋_GB2312" w:eastAsia="仿宋_GB2312"/>
                <w:sz w:val="24"/>
                <w:b/>
              </w:rPr>
              <w:t>3.2</w:t>
            </w:r>
            <w:r>
              <w:rPr>
                <w:rFonts w:ascii="仿宋_GB2312" w:hAnsi="仿宋_GB2312" w:cs="仿宋_GB2312" w:eastAsia="仿宋_GB2312"/>
                <w:sz w:val="24"/>
                <w:b/>
              </w:rPr>
              <w:t>刺丝</w:t>
            </w:r>
            <w:r>
              <w:rPr>
                <w:rFonts w:ascii="仿宋_GB2312" w:hAnsi="仿宋_GB2312" w:cs="仿宋_GB2312" w:eastAsia="仿宋_GB2312"/>
                <w:sz w:val="24"/>
                <w:b/>
              </w:rPr>
              <w:t>：</w:t>
            </w:r>
          </w:p>
          <w:p>
            <w:pPr>
              <w:pStyle w:val="null5"/>
              <w:ind w:firstLine="480"/>
              <w:jc w:val="both"/>
            </w:pPr>
            <w:r>
              <w:rPr>
                <w:rFonts w:ascii="仿宋_GB2312" w:hAnsi="仿宋_GB2312" w:cs="仿宋_GB2312" w:eastAsia="仿宋_GB2312"/>
                <w:sz w:val="24"/>
              </w:rPr>
              <w:t>①</w:t>
            </w:r>
            <w:r>
              <w:rPr>
                <w:rFonts w:ascii="仿宋_GB2312" w:hAnsi="仿宋_GB2312" w:cs="仿宋_GB2312" w:eastAsia="仿宋_GB2312"/>
                <w:sz w:val="24"/>
              </w:rPr>
              <w:t>规格为</w:t>
            </w:r>
            <w:r>
              <w:rPr>
                <w:rFonts w:ascii="仿宋_GB2312" w:hAnsi="仿宋_GB2312" w:cs="仿宋_GB2312" w:eastAsia="仿宋_GB2312"/>
                <w:sz w:val="24"/>
              </w:rPr>
              <w:t>91L-双2.0mm×1.6mm</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②</w:t>
            </w:r>
            <w:r>
              <w:rPr>
                <w:rFonts w:ascii="仿宋_GB2312" w:hAnsi="仿宋_GB2312" w:cs="仿宋_GB2312" w:eastAsia="仿宋_GB2312"/>
                <w:sz w:val="24"/>
              </w:rPr>
              <w:t>两线主筋为强丝</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③</w:t>
            </w:r>
            <w:r>
              <w:rPr>
                <w:rFonts w:ascii="仿宋_GB2312" w:hAnsi="仿宋_GB2312" w:cs="仿宋_GB2312" w:eastAsia="仿宋_GB2312"/>
                <w:sz w:val="24"/>
              </w:rPr>
              <w:t>刺为一般铅丝</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④</w:t>
            </w:r>
            <w:r>
              <w:rPr>
                <w:rFonts w:ascii="仿宋_GB2312" w:hAnsi="仿宋_GB2312" w:cs="仿宋_GB2312" w:eastAsia="仿宋_GB2312"/>
                <w:sz w:val="24"/>
              </w:rPr>
              <w:t>股线直径为</w:t>
            </w:r>
            <w:r>
              <w:rPr>
                <w:rFonts w:ascii="仿宋_GB2312" w:hAnsi="仿宋_GB2312" w:cs="仿宋_GB2312" w:eastAsia="仿宋_GB2312"/>
                <w:sz w:val="24"/>
              </w:rPr>
              <w:t>2.0mm</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⑤</w:t>
            </w:r>
            <w:r>
              <w:rPr>
                <w:rFonts w:ascii="仿宋_GB2312" w:hAnsi="仿宋_GB2312" w:cs="仿宋_GB2312" w:eastAsia="仿宋_GB2312"/>
                <w:sz w:val="24"/>
              </w:rPr>
              <w:t>刺线直径为</w:t>
            </w:r>
            <w:r>
              <w:rPr>
                <w:rFonts w:ascii="仿宋_GB2312" w:hAnsi="仿宋_GB2312" w:cs="仿宋_GB2312" w:eastAsia="仿宋_GB2312"/>
                <w:sz w:val="24"/>
              </w:rPr>
              <w:t>1.6mm</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⑥</w:t>
            </w:r>
            <w:r>
              <w:rPr>
                <w:rFonts w:ascii="仿宋_GB2312" w:hAnsi="仿宋_GB2312" w:cs="仿宋_GB2312" w:eastAsia="仿宋_GB2312"/>
                <w:sz w:val="24"/>
              </w:rPr>
              <w:t>刺距</w:t>
            </w:r>
            <w:r>
              <w:rPr>
                <w:rFonts w:ascii="仿宋_GB2312" w:hAnsi="仿宋_GB2312" w:cs="仿宋_GB2312" w:eastAsia="仿宋_GB2312"/>
                <w:sz w:val="24"/>
              </w:rPr>
              <w:t>102±13mm</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⑦</w:t>
            </w:r>
            <w:r>
              <w:rPr>
                <w:rFonts w:ascii="仿宋_GB2312" w:hAnsi="仿宋_GB2312" w:cs="仿宋_GB2312" w:eastAsia="仿宋_GB2312"/>
                <w:sz w:val="24"/>
              </w:rPr>
              <w:t>刺长</w:t>
            </w:r>
            <w:r>
              <w:rPr>
                <w:rFonts w:ascii="仿宋_GB2312" w:hAnsi="仿宋_GB2312" w:cs="仿宋_GB2312" w:eastAsia="仿宋_GB2312"/>
                <w:sz w:val="24"/>
              </w:rPr>
              <w:t>16±3mm</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⑧</w:t>
            </w:r>
            <w:r>
              <w:rPr>
                <w:rFonts w:ascii="仿宋_GB2312" w:hAnsi="仿宋_GB2312" w:cs="仿宋_GB2312" w:eastAsia="仿宋_GB2312"/>
                <w:sz w:val="24"/>
              </w:rPr>
              <w:t>每卷刺丝长</w:t>
            </w:r>
            <w:r>
              <w:rPr>
                <w:rFonts w:ascii="仿宋_GB2312" w:hAnsi="仿宋_GB2312" w:cs="仿宋_GB2312" w:eastAsia="仿宋_GB2312"/>
                <w:sz w:val="24"/>
              </w:rPr>
              <w:t>400m。</w:t>
            </w:r>
          </w:p>
          <w:p>
            <w:pPr>
              <w:pStyle w:val="null5"/>
              <w:ind w:firstLine="482"/>
              <w:jc w:val="both"/>
            </w:pPr>
            <w:r>
              <w:rPr>
                <w:rFonts w:ascii="仿宋_GB2312" w:hAnsi="仿宋_GB2312" w:cs="仿宋_GB2312" w:eastAsia="仿宋_GB2312"/>
                <w:sz w:val="24"/>
                <w:b/>
              </w:rPr>
              <w:t>3.3</w:t>
            </w:r>
            <w:r>
              <w:rPr>
                <w:rFonts w:ascii="仿宋_GB2312" w:hAnsi="仿宋_GB2312" w:cs="仿宋_GB2312" w:eastAsia="仿宋_GB2312"/>
                <w:sz w:val="24"/>
                <w:b/>
              </w:rPr>
              <w:t>线桩桩：</w:t>
            </w:r>
          </w:p>
          <w:p>
            <w:pPr>
              <w:pStyle w:val="null5"/>
              <w:ind w:firstLine="480"/>
              <w:jc w:val="both"/>
            </w:pPr>
            <w:r>
              <w:rPr>
                <w:rFonts w:ascii="仿宋_GB2312" w:hAnsi="仿宋_GB2312" w:cs="仿宋_GB2312" w:eastAsia="仿宋_GB2312"/>
                <w:sz w:val="24"/>
              </w:rPr>
              <w:t>①</w:t>
            </w:r>
            <w:r>
              <w:rPr>
                <w:rFonts w:ascii="仿宋_GB2312" w:hAnsi="仿宋_GB2312" w:cs="仿宋_GB2312" w:eastAsia="仿宋_GB2312"/>
                <w:sz w:val="24"/>
              </w:rPr>
              <w:t>选用成道轨钢</w:t>
            </w:r>
            <w:r>
              <w:rPr>
                <w:rFonts w:ascii="仿宋_GB2312" w:hAnsi="仿宋_GB2312" w:cs="仿宋_GB2312" w:eastAsia="仿宋_GB2312"/>
                <w:sz w:val="24"/>
              </w:rPr>
              <w:t>"Y"型柱（1900mm×25mm×25mm×21mm）</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②</w:t>
            </w:r>
            <w:r>
              <w:rPr>
                <w:rFonts w:ascii="仿宋_GB2312" w:hAnsi="仿宋_GB2312" w:cs="仿宋_GB2312" w:eastAsia="仿宋_GB2312"/>
                <w:sz w:val="24"/>
              </w:rPr>
              <w:t>每根重</w:t>
            </w:r>
            <w:r>
              <w:rPr>
                <w:rFonts w:ascii="仿宋_GB2312" w:hAnsi="仿宋_GB2312" w:cs="仿宋_GB2312" w:eastAsia="仿宋_GB2312"/>
                <w:sz w:val="24"/>
              </w:rPr>
              <w:t>≥3.45kg</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③</w:t>
            </w:r>
            <w:r>
              <w:rPr>
                <w:rFonts w:ascii="仿宋_GB2312" w:hAnsi="仿宋_GB2312" w:cs="仿宋_GB2312" w:eastAsia="仿宋_GB2312"/>
                <w:sz w:val="24"/>
              </w:rPr>
              <w:t>具备</w:t>
            </w:r>
            <w:r>
              <w:rPr>
                <w:rFonts w:ascii="仿宋_GB2312" w:hAnsi="仿宋_GB2312" w:cs="仿宋_GB2312" w:eastAsia="仿宋_GB2312"/>
                <w:sz w:val="24"/>
              </w:rPr>
              <w:t>7×110×60 型网围栏的7 个孔和柱顶上边100mm（网围栏上边线100mm 处）1个刺丝孔</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④</w:t>
            </w:r>
            <w:r>
              <w:rPr>
                <w:rFonts w:ascii="仿宋_GB2312" w:hAnsi="仿宋_GB2312" w:cs="仿宋_GB2312" w:eastAsia="仿宋_GB2312"/>
                <w:sz w:val="24"/>
              </w:rPr>
              <w:t>硬度</w:t>
            </w:r>
            <w:r>
              <w:rPr>
                <w:rFonts w:ascii="仿宋_GB2312" w:hAnsi="仿宋_GB2312" w:cs="仿宋_GB2312" w:eastAsia="仿宋_GB2312"/>
                <w:sz w:val="24"/>
              </w:rPr>
              <w:t>≥100HB</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⑤</w:t>
            </w:r>
            <w:r>
              <w:rPr>
                <w:rFonts w:ascii="仿宋_GB2312" w:hAnsi="仿宋_GB2312" w:cs="仿宋_GB2312" w:eastAsia="仿宋_GB2312"/>
                <w:sz w:val="24"/>
              </w:rPr>
              <w:t>表面不得有明显裂纹、结疤、折叠、毛刺等</w:t>
            </w:r>
          </w:p>
          <w:p>
            <w:pPr>
              <w:pStyle w:val="null5"/>
              <w:ind w:firstLine="482"/>
              <w:jc w:val="both"/>
            </w:pPr>
            <w:r>
              <w:rPr>
                <w:rFonts w:ascii="仿宋_GB2312" w:hAnsi="仿宋_GB2312" w:cs="仿宋_GB2312" w:eastAsia="仿宋_GB2312"/>
                <w:sz w:val="24"/>
                <w:b/>
              </w:rPr>
              <w:t>3.4</w:t>
            </w:r>
            <w:r>
              <w:rPr>
                <w:rFonts w:ascii="仿宋_GB2312" w:hAnsi="仿宋_GB2312" w:cs="仿宋_GB2312" w:eastAsia="仿宋_GB2312"/>
                <w:sz w:val="24"/>
                <w:b/>
              </w:rPr>
              <w:t>加强桩：</w:t>
            </w:r>
            <w:r>
              <w:rPr>
                <w:rFonts w:ascii="仿宋_GB2312" w:hAnsi="仿宋_GB2312" w:cs="仿宋_GB2312" w:eastAsia="仿宋_GB2312"/>
                <w:sz w:val="24"/>
              </w:rPr>
              <w:t>加强桩为单面斜撑（斜撑角为</w:t>
            </w:r>
            <w:r>
              <w:rPr>
                <w:rFonts w:ascii="仿宋_GB2312" w:hAnsi="仿宋_GB2312" w:cs="仿宋_GB2312" w:eastAsia="仿宋_GB2312"/>
                <w:sz w:val="24"/>
              </w:rPr>
              <w:t>45°)2000mm×60mm×6.3mm的V字型重型钢板。</w:t>
            </w:r>
          </w:p>
          <w:p>
            <w:pPr>
              <w:pStyle w:val="null5"/>
              <w:ind w:firstLine="482"/>
              <w:jc w:val="both"/>
            </w:pPr>
            <w:r>
              <w:rPr>
                <w:rFonts w:ascii="仿宋_GB2312" w:hAnsi="仿宋_GB2312" w:cs="仿宋_GB2312" w:eastAsia="仿宋_GB2312"/>
                <w:sz w:val="24"/>
                <w:b/>
              </w:rPr>
              <w:t>3.5</w:t>
            </w:r>
            <w:r>
              <w:rPr>
                <w:rFonts w:ascii="仿宋_GB2312" w:hAnsi="仿宋_GB2312" w:cs="仿宋_GB2312" w:eastAsia="仿宋_GB2312"/>
                <w:sz w:val="24"/>
                <w:b/>
              </w:rPr>
              <w:t>转角桩、门桩：</w:t>
            </w:r>
            <w:r>
              <w:rPr>
                <w:rFonts w:ascii="仿宋_GB2312" w:hAnsi="仿宋_GB2312" w:cs="仿宋_GB2312" w:eastAsia="仿宋_GB2312"/>
                <w:sz w:val="24"/>
              </w:rPr>
              <w:t>转角桩、门桩为</w:t>
            </w:r>
            <w:r>
              <w:rPr>
                <w:rFonts w:ascii="仿宋_GB2312" w:hAnsi="仿宋_GB2312" w:cs="仿宋_GB2312" w:eastAsia="仿宋_GB2312"/>
                <w:sz w:val="24"/>
              </w:rPr>
              <w:t>2面斜撑（ 斜撑角为45°)2000mm×75mm×7.5mm 的V字型重型钢板。</w:t>
            </w:r>
          </w:p>
          <w:p>
            <w:pPr>
              <w:pStyle w:val="null5"/>
              <w:ind w:firstLine="482"/>
              <w:jc w:val="both"/>
            </w:pPr>
            <w:r>
              <w:rPr>
                <w:rFonts w:ascii="仿宋_GB2312" w:hAnsi="仿宋_GB2312" w:cs="仿宋_GB2312" w:eastAsia="仿宋_GB2312"/>
                <w:sz w:val="24"/>
                <w:b/>
              </w:rPr>
              <w:t>3.6</w:t>
            </w:r>
            <w:r>
              <w:rPr>
                <w:rFonts w:ascii="仿宋_GB2312" w:hAnsi="仿宋_GB2312" w:cs="仿宋_GB2312" w:eastAsia="仿宋_GB2312"/>
                <w:sz w:val="24"/>
                <w:b/>
              </w:rPr>
              <w:t>大门的设置：</w:t>
            </w:r>
          </w:p>
          <w:p>
            <w:pPr>
              <w:pStyle w:val="null5"/>
              <w:ind w:firstLine="480"/>
              <w:jc w:val="both"/>
            </w:pPr>
            <w:r>
              <w:rPr>
                <w:rFonts w:ascii="仿宋_GB2312" w:hAnsi="仿宋_GB2312" w:cs="仿宋_GB2312" w:eastAsia="仿宋_GB2312"/>
                <w:sz w:val="24"/>
              </w:rPr>
              <w:t>①</w:t>
            </w:r>
            <w:r>
              <w:rPr>
                <w:rFonts w:ascii="仿宋_GB2312" w:hAnsi="仿宋_GB2312" w:cs="仿宋_GB2312" w:eastAsia="仿宋_GB2312"/>
                <w:sz w:val="24"/>
              </w:rPr>
              <w:t>根据实际需求安装大门，门每扇宽</w:t>
            </w:r>
            <w:r>
              <w:rPr>
                <w:rFonts w:ascii="仿宋_GB2312" w:hAnsi="仿宋_GB2312" w:cs="仿宋_GB2312" w:eastAsia="仿宋_GB2312"/>
                <w:sz w:val="24"/>
              </w:rPr>
              <w:t>3m，高1.2m，每组两扇门</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②</w:t>
            </w:r>
            <w:r>
              <w:rPr>
                <w:rFonts w:ascii="仿宋_GB2312" w:hAnsi="仿宋_GB2312" w:cs="仿宋_GB2312" w:eastAsia="仿宋_GB2312"/>
                <w:sz w:val="24"/>
              </w:rPr>
              <w:t>每组门桩配</w:t>
            </w:r>
            <w:r>
              <w:rPr>
                <w:rFonts w:ascii="仿宋_GB2312" w:hAnsi="仿宋_GB2312" w:cs="仿宋_GB2312" w:eastAsia="仿宋_GB2312"/>
                <w:sz w:val="24"/>
              </w:rPr>
              <w:t>2根支撑桩</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③</w:t>
            </w:r>
            <w:r>
              <w:rPr>
                <w:rFonts w:ascii="仿宋_GB2312" w:hAnsi="仿宋_GB2312" w:cs="仿宋_GB2312" w:eastAsia="仿宋_GB2312"/>
                <w:sz w:val="24"/>
              </w:rPr>
              <w:t>大门和角柱之间用铁丝加固，两扇门按对开设置</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④</w:t>
            </w:r>
            <w:r>
              <w:rPr>
                <w:rFonts w:ascii="仿宋_GB2312" w:hAnsi="仿宋_GB2312" w:cs="仿宋_GB2312" w:eastAsia="仿宋_GB2312"/>
                <w:sz w:val="24"/>
              </w:rPr>
              <w:t>每扇</w:t>
            </w:r>
            <w:r>
              <w:rPr>
                <w:rFonts w:ascii="仿宋_GB2312" w:hAnsi="仿宋_GB2312" w:cs="仿宋_GB2312" w:eastAsia="仿宋_GB2312"/>
                <w:sz w:val="24"/>
              </w:rPr>
              <w:t>1寸镀锌管中间有网片焊接，内设两道坚档</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⑤</w:t>
            </w:r>
            <w:r>
              <w:rPr>
                <w:rFonts w:ascii="仿宋_GB2312" w:hAnsi="仿宋_GB2312" w:cs="仿宋_GB2312" w:eastAsia="仿宋_GB2312"/>
                <w:sz w:val="24"/>
              </w:rPr>
              <w:t>每扇门重量</w:t>
            </w:r>
            <w:r>
              <w:rPr>
                <w:rFonts w:ascii="仿宋_GB2312" w:hAnsi="仿宋_GB2312" w:cs="仿宋_GB2312" w:eastAsia="仿宋_GB2312"/>
                <w:sz w:val="24"/>
              </w:rPr>
              <w:t>12公斤以上</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⑥</w:t>
            </w:r>
            <w:r>
              <w:rPr>
                <w:rFonts w:ascii="仿宋_GB2312" w:hAnsi="仿宋_GB2312" w:cs="仿宋_GB2312" w:eastAsia="仿宋_GB2312"/>
                <w:sz w:val="24"/>
              </w:rPr>
              <w:t>支撑桩为单面斜撑</w:t>
            </w:r>
            <w:r>
              <w:rPr>
                <w:rFonts w:ascii="仿宋_GB2312" w:hAnsi="仿宋_GB2312" w:cs="仿宋_GB2312" w:eastAsia="仿宋_GB2312"/>
                <w:sz w:val="24"/>
              </w:rPr>
              <w:t>(斜撑角为45°)2000mm×60mm×6.3mm的V字型重型钢板。</w:t>
            </w:r>
          </w:p>
          <w:p>
            <w:pPr>
              <w:pStyle w:val="null5"/>
              <w:ind w:firstLine="482"/>
              <w:jc w:val="both"/>
            </w:pPr>
            <w:r>
              <w:rPr>
                <w:rFonts w:ascii="仿宋_GB2312" w:hAnsi="仿宋_GB2312" w:cs="仿宋_GB2312" w:eastAsia="仿宋_GB2312"/>
                <w:sz w:val="24"/>
                <w:b/>
              </w:rPr>
              <w:t>3.7</w:t>
            </w:r>
            <w:r>
              <w:rPr>
                <w:rFonts w:ascii="仿宋_GB2312" w:hAnsi="仿宋_GB2312" w:cs="仿宋_GB2312" w:eastAsia="仿宋_GB2312"/>
                <w:sz w:val="24"/>
                <w:b/>
              </w:rPr>
              <w:t>架设标准：</w:t>
            </w:r>
          </w:p>
          <w:p>
            <w:pPr>
              <w:pStyle w:val="null5"/>
              <w:ind w:firstLine="480"/>
              <w:jc w:val="both"/>
            </w:pPr>
            <w:r>
              <w:rPr>
                <w:rFonts w:ascii="仿宋_GB2312" w:hAnsi="仿宋_GB2312" w:cs="仿宋_GB2312" w:eastAsia="仿宋_GB2312"/>
                <w:sz w:val="24"/>
              </w:rPr>
              <w:t>①</w:t>
            </w:r>
            <w:r>
              <w:rPr>
                <w:rFonts w:ascii="仿宋_GB2312" w:hAnsi="仿宋_GB2312" w:cs="仿宋_GB2312" w:eastAsia="仿宋_GB2312"/>
                <w:sz w:val="24"/>
              </w:rPr>
              <w:t>每隔</w:t>
            </w:r>
            <w:r>
              <w:rPr>
                <w:rFonts w:ascii="仿宋_GB2312" w:hAnsi="仿宋_GB2312" w:cs="仿宋_GB2312" w:eastAsia="仿宋_GB2312"/>
                <w:sz w:val="24"/>
              </w:rPr>
              <w:t>10m架设一根线桩</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②</w:t>
            </w:r>
            <w:r>
              <w:rPr>
                <w:rFonts w:ascii="仿宋_GB2312" w:hAnsi="仿宋_GB2312" w:cs="仿宋_GB2312" w:eastAsia="仿宋_GB2312"/>
                <w:sz w:val="24"/>
              </w:rPr>
              <w:t>线埋深</w:t>
            </w:r>
            <w:r>
              <w:rPr>
                <w:rFonts w:ascii="仿宋_GB2312" w:hAnsi="仿宋_GB2312" w:cs="仿宋_GB2312" w:eastAsia="仿宋_GB2312"/>
                <w:sz w:val="24"/>
              </w:rPr>
              <w:t>50cm</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③</w:t>
            </w:r>
            <w:r>
              <w:rPr>
                <w:rFonts w:ascii="仿宋_GB2312" w:hAnsi="仿宋_GB2312" w:cs="仿宋_GB2312" w:eastAsia="仿宋_GB2312"/>
                <w:sz w:val="24"/>
              </w:rPr>
              <w:t>线地上部分</w:t>
            </w:r>
            <w:r>
              <w:rPr>
                <w:rFonts w:ascii="仿宋_GB2312" w:hAnsi="仿宋_GB2312" w:cs="仿宋_GB2312" w:eastAsia="仿宋_GB2312"/>
                <w:sz w:val="24"/>
              </w:rPr>
              <w:t>140cm</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④</w:t>
            </w:r>
            <w:r>
              <w:rPr>
                <w:rFonts w:ascii="仿宋_GB2312" w:hAnsi="仿宋_GB2312" w:cs="仿宋_GB2312" w:eastAsia="仿宋_GB2312"/>
                <w:sz w:val="24"/>
              </w:rPr>
              <w:t>网片底端距地面</w:t>
            </w:r>
            <w:r>
              <w:rPr>
                <w:rFonts w:ascii="仿宋_GB2312" w:hAnsi="仿宋_GB2312" w:cs="仿宋_GB2312" w:eastAsia="仿宋_GB2312"/>
                <w:sz w:val="24"/>
              </w:rPr>
              <w:t>10cm</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⑤</w:t>
            </w:r>
            <w:r>
              <w:rPr>
                <w:rFonts w:ascii="仿宋_GB2312" w:hAnsi="仿宋_GB2312" w:cs="仿宋_GB2312" w:eastAsia="仿宋_GB2312"/>
                <w:sz w:val="24"/>
              </w:rPr>
              <w:t>刺丝在网片上</w:t>
            </w:r>
            <w:r>
              <w:rPr>
                <w:rFonts w:ascii="仿宋_GB2312" w:hAnsi="仿宋_GB2312" w:cs="仿宋_GB2312" w:eastAsia="仿宋_GB2312"/>
                <w:sz w:val="24"/>
              </w:rPr>
              <w:t>10cm处安装，距线顶端10cm</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⑥</w:t>
            </w:r>
            <w:r>
              <w:rPr>
                <w:rFonts w:ascii="仿宋_GB2312" w:hAnsi="仿宋_GB2312" w:cs="仿宋_GB2312" w:eastAsia="仿宋_GB2312"/>
                <w:sz w:val="24"/>
              </w:rPr>
              <w:t>每两组网围栏之间设立一组加强桩，加强埋深</w:t>
            </w:r>
            <w:r>
              <w:rPr>
                <w:rFonts w:ascii="仿宋_GB2312" w:hAnsi="仿宋_GB2312" w:cs="仿宋_GB2312" w:eastAsia="仿宋_GB2312"/>
                <w:sz w:val="24"/>
              </w:rPr>
              <w:t>60cm</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⑦</w:t>
            </w:r>
            <w:r>
              <w:rPr>
                <w:rFonts w:ascii="仿宋_GB2312" w:hAnsi="仿宋_GB2312" w:cs="仿宋_GB2312" w:eastAsia="仿宋_GB2312"/>
                <w:sz w:val="24"/>
              </w:rPr>
              <w:t>拐角处设转角桩，转角桩、门桩埋深</w:t>
            </w:r>
            <w:r>
              <w:rPr>
                <w:rFonts w:ascii="仿宋_GB2312" w:hAnsi="仿宋_GB2312" w:cs="仿宋_GB2312" w:eastAsia="仿宋_GB2312"/>
                <w:sz w:val="24"/>
              </w:rPr>
              <w:t>60cm</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设置方式参照《草原围栏建设技术规程》进行设置。</w:t>
            </w:r>
          </w:p>
          <w:p>
            <w:pPr>
              <w:pStyle w:val="null5"/>
              <w:ind w:firstLine="482"/>
              <w:jc w:val="both"/>
            </w:pPr>
            <w:r>
              <w:rPr>
                <w:rFonts w:ascii="仿宋_GB2312" w:hAnsi="仿宋_GB2312" w:cs="仿宋_GB2312" w:eastAsia="仿宋_GB2312"/>
                <w:sz w:val="24"/>
                <w:b/>
              </w:rPr>
              <w:t>4、</w:t>
            </w:r>
            <w:r>
              <w:rPr>
                <w:rFonts w:ascii="仿宋_GB2312" w:hAnsi="仿宋_GB2312" w:cs="仿宋_GB2312" w:eastAsia="仿宋_GB2312"/>
                <w:sz w:val="24"/>
                <w:b/>
              </w:rPr>
              <w:t>架设方法</w:t>
            </w:r>
            <w:r>
              <w:rPr>
                <w:rFonts w:ascii="仿宋_GB2312" w:hAnsi="仿宋_GB2312" w:cs="仿宋_GB2312" w:eastAsia="仿宋_GB2312"/>
                <w:sz w:val="24"/>
                <w:b/>
              </w:rPr>
              <w:t>：</w:t>
            </w:r>
          </w:p>
          <w:p>
            <w:pPr>
              <w:pStyle w:val="null5"/>
              <w:ind w:firstLine="480"/>
              <w:jc w:val="both"/>
            </w:pPr>
            <w:r>
              <w:rPr>
                <w:rFonts w:ascii="仿宋_GB2312" w:hAnsi="仿宋_GB2312" w:cs="仿宋_GB2312" w:eastAsia="仿宋_GB2312"/>
                <w:sz w:val="24"/>
              </w:rPr>
              <w:t>用</w:t>
            </w:r>
            <w:r>
              <w:rPr>
                <w:rFonts w:ascii="仿宋_GB2312" w:hAnsi="仿宋_GB2312" w:cs="仿宋_GB2312" w:eastAsia="仿宋_GB2312"/>
                <w:sz w:val="24"/>
              </w:rPr>
              <w:t>GPS确定围栏四至界限，在线距两端各设一标桩，从起始标起，每隔30m设一标桩，直至全线完成，若中间遇小丘或凹地，依其地形复杂程度增设标桩，要求观察者能同时看到三个标桩</w:t>
            </w:r>
            <w:r>
              <w:rPr>
                <w:rFonts w:ascii="仿宋_GB2312" w:hAnsi="仿宋_GB2312" w:cs="仿宋_GB2312" w:eastAsia="仿宋_GB2312"/>
                <w:sz w:val="24"/>
              </w:rPr>
              <w:t>。</w:t>
            </w:r>
            <w:r>
              <w:rPr>
                <w:rFonts w:ascii="仿宋_GB2312" w:hAnsi="仿宋_GB2312" w:cs="仿宋_GB2312" w:eastAsia="仿宋_GB2312"/>
                <w:sz w:val="24"/>
              </w:rPr>
              <w:t>线桩、加强桩、转角桩、线桩的埋设</w:t>
            </w:r>
            <w:r>
              <w:rPr>
                <w:rFonts w:ascii="仿宋_GB2312" w:hAnsi="仿宋_GB2312" w:cs="仿宋_GB2312" w:eastAsia="仿宋_GB2312"/>
                <w:sz w:val="24"/>
              </w:rPr>
              <w:t>：</w:t>
            </w:r>
            <w:r>
              <w:rPr>
                <w:rFonts w:ascii="仿宋_GB2312" w:hAnsi="仿宋_GB2312" w:cs="仿宋_GB2312" w:eastAsia="仿宋_GB2312"/>
                <w:sz w:val="24"/>
              </w:rPr>
              <w:t>每</w:t>
            </w:r>
            <w:r>
              <w:rPr>
                <w:rFonts w:ascii="仿宋_GB2312" w:hAnsi="仿宋_GB2312" w:cs="仿宋_GB2312" w:eastAsia="仿宋_GB2312"/>
                <w:sz w:val="24"/>
              </w:rPr>
              <w:t>10m设1根线桩，线埋深0</w:t>
            </w:r>
            <w:r>
              <w:rPr>
                <w:rFonts w:ascii="仿宋_GB2312" w:hAnsi="仿宋_GB2312" w:cs="仿宋_GB2312" w:eastAsia="仿宋_GB2312"/>
                <w:sz w:val="24"/>
              </w:rPr>
              <w:t>.</w:t>
            </w:r>
            <w:r>
              <w:rPr>
                <w:rFonts w:ascii="仿宋_GB2312" w:hAnsi="仿宋_GB2312" w:cs="仿宋_GB2312" w:eastAsia="仿宋_GB2312"/>
                <w:sz w:val="24"/>
              </w:rPr>
              <w:t>5m</w:t>
            </w:r>
            <w:r>
              <w:rPr>
                <w:rFonts w:ascii="仿宋_GB2312" w:hAnsi="仿宋_GB2312" w:cs="仿宋_GB2312" w:eastAsia="仿宋_GB2312"/>
                <w:sz w:val="24"/>
              </w:rPr>
              <w:t>；</w:t>
            </w:r>
            <w:r>
              <w:rPr>
                <w:rFonts w:ascii="仿宋_GB2312" w:hAnsi="仿宋_GB2312" w:cs="仿宋_GB2312" w:eastAsia="仿宋_GB2312"/>
                <w:sz w:val="24"/>
              </w:rPr>
              <w:t>每</w:t>
            </w:r>
            <w:r>
              <w:rPr>
                <w:rFonts w:ascii="仿宋_GB2312" w:hAnsi="仿宋_GB2312" w:cs="仿宋_GB2312" w:eastAsia="仿宋_GB2312"/>
                <w:sz w:val="24"/>
              </w:rPr>
              <w:t>200m设1根加强桩</w:t>
            </w:r>
            <w:r>
              <w:rPr>
                <w:rFonts w:ascii="仿宋_GB2312" w:hAnsi="仿宋_GB2312" w:cs="仿宋_GB2312" w:eastAsia="仿宋_GB2312"/>
                <w:sz w:val="24"/>
              </w:rPr>
              <w:t>，</w:t>
            </w:r>
            <w:r>
              <w:rPr>
                <w:rFonts w:ascii="仿宋_GB2312" w:hAnsi="仿宋_GB2312" w:cs="仿宋_GB2312" w:eastAsia="仿宋_GB2312"/>
                <w:sz w:val="24"/>
              </w:rPr>
              <w:t>加强桩埋深</w:t>
            </w:r>
            <w:r>
              <w:rPr>
                <w:rFonts w:ascii="仿宋_GB2312" w:hAnsi="仿宋_GB2312" w:cs="仿宋_GB2312" w:eastAsia="仿宋_GB2312"/>
                <w:sz w:val="24"/>
              </w:rPr>
              <w:t>0.6m</w:t>
            </w:r>
            <w:r>
              <w:rPr>
                <w:rFonts w:ascii="仿宋_GB2312" w:hAnsi="仿宋_GB2312" w:cs="仿宋_GB2312" w:eastAsia="仿宋_GB2312"/>
                <w:sz w:val="24"/>
              </w:rPr>
              <w:t>；</w:t>
            </w:r>
            <w:r>
              <w:rPr>
                <w:rFonts w:ascii="仿宋_GB2312" w:hAnsi="仿宋_GB2312" w:cs="仿宋_GB2312" w:eastAsia="仿宋_GB2312"/>
                <w:sz w:val="24"/>
              </w:rPr>
              <w:t>每一拐点处设</w:t>
            </w:r>
            <w:r>
              <w:rPr>
                <w:rFonts w:ascii="仿宋_GB2312" w:hAnsi="仿宋_GB2312" w:cs="仿宋_GB2312" w:eastAsia="仿宋_GB2312"/>
                <w:sz w:val="24"/>
              </w:rPr>
              <w:t>1转角</w:t>
            </w:r>
            <w:r>
              <w:rPr>
                <w:rFonts w:ascii="仿宋_GB2312" w:hAnsi="仿宋_GB2312" w:cs="仿宋_GB2312" w:eastAsia="仿宋_GB2312"/>
                <w:sz w:val="24"/>
              </w:rPr>
              <w:t>桩</w:t>
            </w:r>
            <w:r>
              <w:rPr>
                <w:rFonts w:ascii="仿宋_GB2312" w:hAnsi="仿宋_GB2312" w:cs="仿宋_GB2312" w:eastAsia="仿宋_GB2312"/>
                <w:sz w:val="24"/>
              </w:rPr>
              <w:t>，转角</w:t>
            </w:r>
            <w:r>
              <w:rPr>
                <w:rFonts w:ascii="仿宋_GB2312" w:hAnsi="仿宋_GB2312" w:cs="仿宋_GB2312" w:eastAsia="仿宋_GB2312"/>
                <w:sz w:val="24"/>
              </w:rPr>
              <w:t>桩</w:t>
            </w:r>
            <w:r>
              <w:rPr>
                <w:rFonts w:ascii="仿宋_GB2312" w:hAnsi="仿宋_GB2312" w:cs="仿宋_GB2312" w:eastAsia="仿宋_GB2312"/>
                <w:sz w:val="24"/>
              </w:rPr>
              <w:t>埋深</w:t>
            </w:r>
            <w:r>
              <w:rPr>
                <w:rFonts w:ascii="仿宋_GB2312" w:hAnsi="仿宋_GB2312" w:cs="仿宋_GB2312" w:eastAsia="仿宋_GB2312"/>
                <w:sz w:val="24"/>
              </w:rPr>
              <w:t>0.6m，各桩安装和地面成90°夹角，桩和桩之间成一条直线(转角除外)。网片最低纬线离地面10cm，各纬线张紧力为700N-900N，每道纬线拉力相当，并用12号铁丝固定于桩上。</w:t>
            </w:r>
          </w:p>
          <w:p>
            <w:pPr>
              <w:pStyle w:val="null5"/>
              <w:ind w:firstLine="480"/>
              <w:jc w:val="both"/>
            </w:pPr>
            <w:r>
              <w:rPr>
                <w:rFonts w:ascii="仿宋_GB2312" w:hAnsi="仿宋_GB2312" w:cs="仿宋_GB2312" w:eastAsia="仿宋_GB2312"/>
                <w:sz w:val="24"/>
              </w:rPr>
              <w:t>从加强桩一端开始，沿线桩铺放网片，将网片铺放在围栏内侧，起始端留</w:t>
            </w:r>
            <w:r>
              <w:rPr>
                <w:rFonts w:ascii="仿宋_GB2312" w:hAnsi="仿宋_GB2312" w:cs="仿宋_GB2312" w:eastAsia="仿宋_GB2312"/>
                <w:sz w:val="24"/>
              </w:rPr>
              <w:t>5~8cm长的网片，将网片竖起，将每根线绕过起始绞紧固定。把已架起的编结网各纬线自上而下隔行绑结在线桩上，在相邻的线上绑结纬线时，位置应该相互错开。继续铺放网片，直到下一个起始桩，将网片竖起紧固。把展开刺丝的端头绑在转角桩或加强桩上，用单头张紧器把刺丝张紧后，把刺丝另一端绑结在相对的加强桩上，用绑丝把已架起的刺丝绑结在线桩上。围栏架设示意图如下图所示</w:t>
            </w:r>
          </w:p>
          <w:p>
            <w:pPr>
              <w:pStyle w:val="null5"/>
              <w:ind w:firstLine="482"/>
              <w:jc w:val="both"/>
            </w:pPr>
            <w:r>
              <w:rPr>
                <w:rFonts w:ascii="仿宋_GB2312" w:hAnsi="仿宋_GB2312" w:cs="仿宋_GB2312" w:eastAsia="仿宋_GB2312"/>
                <w:sz w:val="24"/>
                <w:b/>
              </w:rPr>
              <w:t>5、</w:t>
            </w:r>
            <w:r>
              <w:rPr>
                <w:rFonts w:ascii="仿宋_GB2312" w:hAnsi="仿宋_GB2312" w:cs="仿宋_GB2312" w:eastAsia="仿宋_GB2312"/>
                <w:sz w:val="24"/>
                <w:b/>
              </w:rPr>
              <w:t xml:space="preserve"> </w:t>
            </w:r>
            <w:r>
              <w:rPr>
                <w:rFonts w:ascii="仿宋_GB2312" w:hAnsi="仿宋_GB2312" w:cs="仿宋_GB2312" w:eastAsia="仿宋_GB2312"/>
                <w:sz w:val="24"/>
                <w:b/>
              </w:rPr>
              <w:t>维修管理</w:t>
            </w:r>
          </w:p>
          <w:p>
            <w:pPr>
              <w:pStyle w:val="null5"/>
              <w:spacing w:before="120" w:after="240"/>
              <w:ind w:firstLine="480"/>
              <w:jc w:val="both"/>
            </w:pPr>
            <w:r>
              <w:rPr>
                <w:rFonts w:ascii="仿宋_GB2312" w:hAnsi="仿宋_GB2312" w:cs="仿宋_GB2312" w:eastAsia="仿宋_GB2312"/>
                <w:sz w:val="24"/>
              </w:rPr>
              <w:t>施工完成后对围栏设施要定期检查</w:t>
            </w:r>
            <w:r>
              <w:rPr>
                <w:rFonts w:ascii="仿宋_GB2312" w:hAnsi="仿宋_GB2312" w:cs="仿宋_GB2312" w:eastAsia="仿宋_GB2312"/>
                <w:sz w:val="24"/>
              </w:rPr>
              <w:t>,发现围栏松动或者损坏要锡林郭勒盟正镶白旗防风治沙和项目区正镶白旗林业和草原局及所在嘎查牧民及时维修加固。封育期严禁开垦、放牧、砍柴、挖药和采摘等人为活动</w:t>
            </w:r>
            <w:r>
              <w:rPr>
                <w:rFonts w:ascii="仿宋_GB2312" w:hAnsi="仿宋_GB2312" w:cs="仿宋_GB2312" w:eastAsia="仿宋_GB2312"/>
                <w:sz w:val="24"/>
              </w:rPr>
              <w:t>；</w:t>
            </w:r>
            <w:r>
              <w:rPr>
                <w:rFonts w:ascii="仿宋_GB2312" w:hAnsi="仿宋_GB2312" w:cs="仿宋_GB2312" w:eastAsia="仿宋_GB2312"/>
                <w:sz w:val="24"/>
              </w:rPr>
              <w:t>安排专门管护人员对围栏封育区域内的草原进行日常巡护。</w:t>
            </w:r>
          </w:p>
          <w:p>
            <w:pPr>
              <w:pStyle w:val="null5"/>
              <w:jc w:val="both"/>
            </w:pP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报价得分20.00分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施工方案与技术措施</w:t>
            </w:r>
          </w:p>
        </w:tc>
        <w:tc>
          <w:tcPr>
            <w:tcW w:type="dxa" w:w="3115"/>
          </w:tcPr>
          <w:p>
            <w:pPr>
              <w:pStyle w:val="null5"/>
              <w:jc w:val="left"/>
            </w:pPr>
            <w:r>
              <w:rPr>
                <w:rFonts w:ascii="仿宋_GB2312" w:hAnsi="仿宋_GB2312" w:cs="仿宋_GB2312" w:eastAsia="仿宋_GB2312"/>
              </w:rPr>
              <w:t>供应商提供总体实施方案： ①平茬施工方案科学合理可行0-5分； ②技术措施对工程质量、工期和施工安全有充分保障得0-5分； ③材料运输与配送方案0-5分； ④材料安装方案0-5分； ⑤有针对性地提出施工过程中可能出现质量通病和处理对策0-5分。</w:t>
            </w:r>
          </w:p>
        </w:tc>
        <w:tc>
          <w:tcPr>
            <w:tcW w:type="dxa" w:w="1038"/>
          </w:tcPr>
          <w:p>
            <w:pPr>
              <w:pStyle w:val="null5"/>
              <w:jc w:val="right"/>
            </w:pPr>
            <w:r>
              <w:rPr>
                <w:rFonts w:ascii="仿宋_GB2312" w:hAnsi="仿宋_GB2312" w:cs="仿宋_GB2312" w:eastAsia="仿宋_GB2312"/>
              </w:rPr>
              <w:t>25.00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质量管理体系与措施</w:t>
            </w:r>
          </w:p>
        </w:tc>
        <w:tc>
          <w:tcPr>
            <w:tcW w:type="dxa" w:w="3115"/>
          </w:tcPr>
          <w:p>
            <w:pPr>
              <w:pStyle w:val="null5"/>
              <w:jc w:val="left"/>
            </w:pPr>
            <w:r>
              <w:rPr>
                <w:rFonts w:ascii="仿宋_GB2312" w:hAnsi="仿宋_GB2312" w:cs="仿宋_GB2312" w:eastAsia="仿宋_GB2312"/>
              </w:rPr>
              <w:t>①质量保证体系完善，得0-5分； ②质量保证措施全面、合理、可行、先进，得0-5分； ③施工难点所采取的技术措施科学合理，得0-5分。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安全管理体系与措施</w:t>
            </w:r>
          </w:p>
        </w:tc>
        <w:tc>
          <w:tcPr>
            <w:tcW w:type="dxa" w:w="3115"/>
          </w:tcPr>
          <w:p>
            <w:pPr>
              <w:pStyle w:val="null5"/>
              <w:jc w:val="left"/>
            </w:pPr>
            <w:r>
              <w:rPr>
                <w:rFonts w:ascii="仿宋_GB2312" w:hAnsi="仿宋_GB2312" w:cs="仿宋_GB2312" w:eastAsia="仿宋_GB2312"/>
              </w:rPr>
              <w:t>①有安全管理体系及措施0-3分； ②现场文明施工措施0-3分； ③安全生产措施0-3分； ④施工车辆分配管理方案0-3分； ⑤防火措施方案0-2分。</w:t>
            </w:r>
          </w:p>
        </w:tc>
        <w:tc>
          <w:tcPr>
            <w:tcW w:type="dxa" w:w="1038"/>
          </w:tcPr>
          <w:p>
            <w:pPr>
              <w:pStyle w:val="null5"/>
              <w:jc w:val="right"/>
            </w:pPr>
            <w:r>
              <w:rPr>
                <w:rFonts w:ascii="仿宋_GB2312" w:hAnsi="仿宋_GB2312" w:cs="仿宋_GB2312" w:eastAsia="仿宋_GB2312"/>
              </w:rPr>
              <w:t>14.00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环境保护管理体系与措施</w:t>
            </w:r>
          </w:p>
        </w:tc>
        <w:tc>
          <w:tcPr>
            <w:tcW w:type="dxa" w:w="3115"/>
          </w:tcPr>
          <w:p>
            <w:pPr>
              <w:pStyle w:val="null5"/>
              <w:jc w:val="left"/>
            </w:pPr>
            <w:r>
              <w:rPr>
                <w:rFonts w:ascii="仿宋_GB2312" w:hAnsi="仿宋_GB2312" w:cs="仿宋_GB2312" w:eastAsia="仿宋_GB2312"/>
              </w:rPr>
              <w:t>环境保护管理体系健全、污染物处理及排放符合国家及地方环境保护标准、技术及管理措施到位得0-4分。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施工组织部署</w:t>
            </w:r>
          </w:p>
        </w:tc>
        <w:tc>
          <w:tcPr>
            <w:tcW w:type="dxa" w:w="3115"/>
          </w:tcPr>
          <w:p>
            <w:pPr>
              <w:pStyle w:val="null5"/>
              <w:jc w:val="left"/>
            </w:pPr>
            <w:r>
              <w:rPr>
                <w:rFonts w:ascii="仿宋_GB2312" w:hAnsi="仿宋_GB2312" w:cs="仿宋_GB2312" w:eastAsia="仿宋_GB2312"/>
              </w:rPr>
              <w:t>有健全的组织机构，管理人员配置合理得0-4分；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工程进度计划与措施</w:t>
            </w:r>
          </w:p>
        </w:tc>
        <w:tc>
          <w:tcPr>
            <w:tcW w:type="dxa" w:w="3115"/>
          </w:tcPr>
          <w:p>
            <w:pPr>
              <w:pStyle w:val="null5"/>
              <w:jc w:val="left"/>
            </w:pPr>
            <w:r>
              <w:rPr>
                <w:rFonts w:ascii="仿宋_GB2312" w:hAnsi="仿宋_GB2312" w:cs="仿宋_GB2312" w:eastAsia="仿宋_GB2312"/>
              </w:rPr>
              <w:t>施工进度计划合理、可行，措施得力程度及网络图设置，得0-4分。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资源配备计划</w:t>
            </w:r>
          </w:p>
        </w:tc>
        <w:tc>
          <w:tcPr>
            <w:tcW w:type="dxa" w:w="3115"/>
          </w:tcPr>
          <w:p>
            <w:pPr>
              <w:pStyle w:val="null5"/>
              <w:jc w:val="left"/>
            </w:pPr>
            <w:r>
              <w:rPr>
                <w:rFonts w:ascii="仿宋_GB2312" w:hAnsi="仿宋_GB2312" w:cs="仿宋_GB2312" w:eastAsia="仿宋_GB2312"/>
              </w:rPr>
              <w:t>资源配备计划齐全，主要施工机械设备、施工机具及安全防护用品充分满足施工要求及管理得0-4分；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拟派项目负责人职称</w:t>
            </w:r>
          </w:p>
        </w:tc>
        <w:tc>
          <w:tcPr>
            <w:tcW w:type="dxa" w:w="3115"/>
          </w:tcPr>
          <w:p>
            <w:pPr>
              <w:pStyle w:val="null5"/>
              <w:jc w:val="left"/>
            </w:pPr>
            <w:r>
              <w:rPr>
                <w:rFonts w:ascii="仿宋_GB2312" w:hAnsi="仿宋_GB2312" w:cs="仿宋_GB2312" w:eastAsia="仿宋_GB2312"/>
              </w:rPr>
              <w:t>拟派项目负责人具有林业工程师中级职称（含）以上或园林工程师中级职称（含）以上资格且未担任其它在施建设项目，得5分，供应商须提供相应人员职称扫描件或相关证明及项目负责人无在建承诺（格式自拟，否则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类似业绩</w:t>
            </w:r>
          </w:p>
        </w:tc>
        <w:tc>
          <w:tcPr>
            <w:tcW w:type="dxa" w:w="3115"/>
          </w:tcPr>
          <w:p>
            <w:pPr>
              <w:pStyle w:val="null5"/>
              <w:jc w:val="left"/>
            </w:pPr>
            <w:r>
              <w:rPr>
                <w:rFonts w:ascii="仿宋_GB2312" w:hAnsi="仿宋_GB2312" w:cs="仿宋_GB2312" w:eastAsia="仿宋_GB2312"/>
              </w:rPr>
              <w:t>2021年01月01日至提交响应文件截止之日，供应商承建过的类似业绩，每提供1项得2.5分，最多得5分。 注：（1）供应商须提供合同的扫描件。 （2）日期以合同签订时间为准。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