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2024年城镇基础设施维护建设项目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内蒙古自治区阿拉善盟住房和城乡建设局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阿拉善盟瑞桥工程咨询有限公司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AMZCS-C-G-250003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阿拉善盟瑞桥工程咨询有限公司</w:t>
      </w:r>
      <w:r>
        <w:rPr>
          <w:rFonts w:ascii="仿宋_GB2312" w:hAnsi="仿宋_GB2312" w:cs="仿宋_GB2312" w:eastAsia="仿宋_GB2312"/>
        </w:rPr>
        <w:t xml:space="preserve"> 受 </w:t>
      </w:r>
      <w:r>
        <w:rPr>
          <w:rFonts w:ascii="仿宋_GB2312" w:hAnsi="仿宋_GB2312" w:cs="仿宋_GB2312" w:eastAsia="仿宋_GB2312"/>
        </w:rPr>
        <w:t>内蒙古自治区阿拉善盟住房和城乡建设局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2024年城镇基础设施维护建设项目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2024年城镇基础设施维护建设项目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AMZCS-C-G-250003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阿盟政采计划[2025]00110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2,898,149.59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2024年城镇基础设施维护建设项目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2,898,149.59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要求：本项目要求投标人应具有建设行政主管部门颁发的市政公用工程或建筑工程施工总承包乙级及以上资质，并取得安全生产许可证，且均在有效期内。（以上资质为住建部最新资质要求（2020年11月30日建市〔2020〕94号《住房和城乡建设部关于印发建设工程企业资质管理制度改革方案的通知》）。如投标人还未申办以上资质，投标人须具有建设行政主管部门颁发的市政公用工程或建筑工程施工总承包叁级及以上资质，并取得安全生产许可证，且均在有效期内。）。</w:t>
      </w:r>
    </w:p>
    <w:p>
      <w:pPr>
        <w:pStyle w:val="null5"/>
        <w:jc w:val="left"/>
      </w:pPr>
      <w:r>
        <w:rPr>
          <w:rFonts w:ascii="仿宋_GB2312" w:hAnsi="仿宋_GB2312" w:cs="仿宋_GB2312" w:eastAsia="仿宋_GB2312"/>
        </w:rPr>
        <w:t>2、项目负责人资格要求：拟派本项目负责人须具备市政公用工程或建筑工程专业贰级或上以注册建造师资格，建造师必须是在网上能查询的该企业的注册建造师(须提供网查截图附在投标文件中)，并取得有效的安全生产考核合格证(B):且未担任其他项目的项目负责人(以投标人出具的未担任其他正在实施项目承诺书为准，承诺书须加盖单位及法定代表人电子签章,格式自拟附在投标文件中)并提供项目负责人2024年06月至今任意连续3个月本企业为其缴纳养老保险的证明，退休人员需提供退休证明。</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阿拉善盟瑞桥工程咨询有限公司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内蒙古自治区阿拉善盟阿拉善左旗巴彦浩特镇八卦泉社区吉兰泰西路北侧商服楼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750300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李周昊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16647330058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内蒙古自治区阿拉善盟住房和城乡建设局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阿拉善盟左旗巴彦浩特新城东城安德街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750306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李登平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13948020110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代理服务费收费标准：按内蒙古自治区招标代理服务收费指导标准实行市场调节价收取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工程量清单：供应商的已标价工程量清单须符合磋商文件“工程量清单”给出的数量和范围：供应商已标价工程量清单必须按照招标工程量清单填报价格。其中项目编码、项目名称、项目特征描述、计量单位、工程量必须与招标工程量清单一致，同时必须提供“投标报价汇总表”和“分部分项工程量清单费用组成分析表”。投标人未按招标工程量清单填报项目编码、项目名称、项目特征描述、计量单位、工程量，以及未提供“投标报价汇总表”和“分部分项工程量清单费用组成分析表”的，属于重大偏差，视为无效投标。 2、工程量清单请在内蒙古自治区政府采购网、阿拉善公共资源交易网下载。</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内蒙古自治区阿拉善盟住房和城乡建设局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阿拉善盟瑞桥工程咨询有限公司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2024年城镇基础设施维护建设项目，主要内容包括巴彦浩特镇文化尚景南区、巴丹吉林路南侧、妇幼保健院南侧排水管网改造，巴彦浩特镇巴丹吉林路南侧、妇幼保健院南侧供水管网改造。</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自签订合同之日起90个日历天内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内蒙古阿拉善盟巴彦浩特镇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1、按已完成工程量分批次支付，达到付款条件起30日，支付合同总金额的100.00%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标的名称：2024年城镇基础设施维护建设项目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color w:val="000000"/>
              </w:rPr>
              <w:t>见附件本项目工程量清单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符合关于联合体响应的相关规定。（不接受）</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供应商资格要求</w:t>
            </w:r>
          </w:p>
        </w:tc>
        <w:tc>
          <w:tcPr>
            <w:tcW w:type="dxa" w:w="4984"/>
          </w:tcPr>
          <w:p>
            <w:pPr>
              <w:pStyle w:val="null5"/>
              <w:jc w:val="left"/>
            </w:pPr>
            <w:r>
              <w:rPr>
                <w:rFonts w:ascii="仿宋_GB2312" w:hAnsi="仿宋_GB2312" w:cs="仿宋_GB2312" w:eastAsia="仿宋_GB2312"/>
              </w:rPr>
              <w:t>本项目要求投标人应具有建设行政主管部门颁发的市政公用工程或建筑工程施工总承包乙级及以上资质，并取得安全生产许可证，且均在有效期内。（以上资质为住建部最新资质要求（2020年11月30日建市〔2020〕94号《住房和城乡建设部关于印发建设工程企业资质管理制度改革方案的通知》）。如投标人还未申办以上资质，投标人须具有建设行政主管部门颁发的市政公用工程或建筑工程施工总承包叁级及以上资质，并取得安全生产许可证，且均在有效期内。）。</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派本项目负责人须具备市政公用工程或建筑工程专业贰级或上以注册建造师资格，建造师必须是在网上能查询的该企业的注册建造师(须提供网查截图附在投标文件中)，并取得有效的安全生产考核合格证(B):且未担任其他项目的项目负责人(以投标人出具的未担任其他正在实施项目承诺书为准，承诺书须加盖单位及法定代表人电子签章,格式自拟附在投标文件中)并提供项目负责人2024年06月至今任意连续3个月本企业为其缴纳养老保险的证明，退休人员需提供退休证明。</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按要求进行网上投标、进行保证金缴纳。（审查汇款凭证）（本项目不收取）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评分标准1</w:t>
            </w:r>
          </w:p>
        </w:tc>
        <w:tc>
          <w:tcPr>
            <w:tcW w:type="dxa" w:w="3115"/>
          </w:tcPr>
          <w:p>
            <w:pPr>
              <w:pStyle w:val="null5"/>
              <w:jc w:val="left"/>
            </w:pPr>
            <w:r>
              <w:rPr>
                <w:rFonts w:ascii="仿宋_GB2312" w:hAnsi="仿宋_GB2312" w:cs="仿宋_GB2312" w:eastAsia="仿宋_GB2312"/>
              </w:rPr>
              <w:t>1.根据施工组织措施是否科学、先进合理，措施是否具体、完整、严谨等内容进行评审，论述完整且具体可行的得9分；论述较完整的得6分；论述较简单的得3分。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评分标准2</w:t>
            </w:r>
          </w:p>
        </w:tc>
        <w:tc>
          <w:tcPr>
            <w:tcW w:type="dxa" w:w="3115"/>
          </w:tcPr>
          <w:p>
            <w:pPr>
              <w:pStyle w:val="null5"/>
              <w:jc w:val="left"/>
            </w:pPr>
            <w:r>
              <w:rPr>
                <w:rFonts w:ascii="仿宋_GB2312" w:hAnsi="仿宋_GB2312" w:cs="仿宋_GB2312" w:eastAsia="仿宋_GB2312"/>
              </w:rPr>
              <w:t>2.根据关键施工工序、工艺及工程项目的重点、难点分析和解决方案是否先进、合理、经济、安全、切实可行，措施是否得力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评分标准3</w:t>
            </w:r>
          </w:p>
        </w:tc>
        <w:tc>
          <w:tcPr>
            <w:tcW w:type="dxa" w:w="3115"/>
          </w:tcPr>
          <w:p>
            <w:pPr>
              <w:pStyle w:val="null5"/>
              <w:jc w:val="left"/>
            </w:pPr>
            <w:r>
              <w:rPr>
                <w:rFonts w:ascii="仿宋_GB2312" w:hAnsi="仿宋_GB2312" w:cs="仿宋_GB2312" w:eastAsia="仿宋_GB2312"/>
              </w:rPr>
              <w:t>3.根据施工组织设计是否有健全的文明及安全施工保证体系，各项保证措施是否明确、具体、可行，特别是在典型位置的安全措施是否先进可靠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评分标准4</w:t>
            </w:r>
          </w:p>
        </w:tc>
        <w:tc>
          <w:tcPr>
            <w:tcW w:type="dxa" w:w="3115"/>
          </w:tcPr>
          <w:p>
            <w:pPr>
              <w:pStyle w:val="null5"/>
              <w:jc w:val="left"/>
            </w:pPr>
            <w:r>
              <w:rPr>
                <w:rFonts w:ascii="仿宋_GB2312" w:hAnsi="仿宋_GB2312" w:cs="仿宋_GB2312" w:eastAsia="仿宋_GB2312"/>
              </w:rPr>
              <w:t>4.根据施工总进度计划是否逻辑性强、可行、合理，保证措施是否明确、具体；施工工期是否满足要求等内容进行评审，论述完整且具体可行的得5分；论述较完整的得3分；论述较简单的得2分。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评分标准5</w:t>
            </w:r>
          </w:p>
        </w:tc>
        <w:tc>
          <w:tcPr>
            <w:tcW w:type="dxa" w:w="3115"/>
          </w:tcPr>
          <w:p>
            <w:pPr>
              <w:pStyle w:val="null5"/>
              <w:jc w:val="left"/>
            </w:pPr>
            <w:r>
              <w:rPr>
                <w:rFonts w:ascii="仿宋_GB2312" w:hAnsi="仿宋_GB2312" w:cs="仿宋_GB2312" w:eastAsia="仿宋_GB2312"/>
              </w:rPr>
              <w:t>5.根据质量控制和保证措施是否可行，针对项目实际是否提出先进、可行、具体的保证措施等内容进行评审，论述完整且具体可行的得5分；论述较完整的得3分；论述较简单的得2分。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评分标准6</w:t>
            </w:r>
          </w:p>
        </w:tc>
        <w:tc>
          <w:tcPr>
            <w:tcW w:type="dxa" w:w="3115"/>
          </w:tcPr>
          <w:p>
            <w:pPr>
              <w:pStyle w:val="null5"/>
              <w:jc w:val="left"/>
            </w:pPr>
            <w:r>
              <w:rPr>
                <w:rFonts w:ascii="仿宋_GB2312" w:hAnsi="仿宋_GB2312" w:cs="仿宋_GB2312" w:eastAsia="仿宋_GB2312"/>
              </w:rPr>
              <w:t>6.根据控制工程质量的检测手段与保证措施是否明确、具体、先进，各项措施是否可行、针对性强，是否有健全的材料检测手段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评分标准7</w:t>
            </w:r>
          </w:p>
        </w:tc>
        <w:tc>
          <w:tcPr>
            <w:tcW w:type="dxa" w:w="3115"/>
          </w:tcPr>
          <w:p>
            <w:pPr>
              <w:pStyle w:val="null5"/>
              <w:jc w:val="left"/>
            </w:pPr>
            <w:r>
              <w:rPr>
                <w:rFonts w:ascii="仿宋_GB2312" w:hAnsi="仿宋_GB2312" w:cs="仿宋_GB2312" w:eastAsia="仿宋_GB2312"/>
              </w:rPr>
              <w:t>7.根据劳动力安排是否合理，主要机械配置是否齐全，设备先进程度，是否满足工程施工要求等内容进行评审，论述完整且具体可行的得4分；论述较完整的得3分；论述较简单的得2分。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评分标准8</w:t>
            </w:r>
          </w:p>
        </w:tc>
        <w:tc>
          <w:tcPr>
            <w:tcW w:type="dxa" w:w="3115"/>
          </w:tcPr>
          <w:p>
            <w:pPr>
              <w:pStyle w:val="null5"/>
              <w:jc w:val="left"/>
            </w:pPr>
            <w:r>
              <w:rPr>
                <w:rFonts w:ascii="仿宋_GB2312" w:hAnsi="仿宋_GB2312" w:cs="仿宋_GB2312" w:eastAsia="仿宋_GB2312"/>
              </w:rPr>
              <w:t>8.根据现场平面布置是否合理，是否符合文明施工（含环境保护）要求等内容进行评审，论述完整且具体可行的得4分；论述较完整的得3分；论述较简单的得2分。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1.参加本项目的供应商2021年至本项目开标前一日(以合同签订时间为准）)具有类似工程施工经验的（类似工程是指建筑工程或市政公用工程），每提供一项得4分，本项最高得12分。（须提供施工合同，以附在投标文件中的扫描件为证）。</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项目主要管理人员</w:t>
            </w:r>
          </w:p>
        </w:tc>
        <w:tc>
          <w:tcPr>
            <w:tcW w:type="dxa" w:w="3115"/>
          </w:tcPr>
          <w:p>
            <w:pPr>
              <w:pStyle w:val="null5"/>
              <w:jc w:val="left"/>
            </w:pPr>
            <w:r>
              <w:rPr>
                <w:rFonts w:ascii="仿宋_GB2312" w:hAnsi="仿宋_GB2312" w:cs="仿宋_GB2312" w:eastAsia="仿宋_GB2312"/>
              </w:rPr>
              <w:t>2.项目主要管理人员：（建筑工程师或市政公用工程工程师、给排水工程师）。配备齐全得3分，每缺一项扣1.5分。（响应文件中需提供证书扫描件截图）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项目五大员配备</w:t>
            </w:r>
          </w:p>
        </w:tc>
        <w:tc>
          <w:tcPr>
            <w:tcW w:type="dxa" w:w="3115"/>
          </w:tcPr>
          <w:p>
            <w:pPr>
              <w:pStyle w:val="null5"/>
              <w:jc w:val="left"/>
            </w:pPr>
            <w:r>
              <w:rPr>
                <w:rFonts w:ascii="仿宋_GB2312" w:hAnsi="仿宋_GB2312" w:cs="仿宋_GB2312" w:eastAsia="仿宋_GB2312"/>
              </w:rPr>
              <w:t>3.项目五大员配备：（安全员、质量员、施工员、资料员、材料员）全部持证上岗的得5分，每缺一项扣1分。（响应文件中需提供证书扫描件截图）。</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