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阿拉善左旗看守所拘留所智慧监管平台建设设备采购项目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阿拉善左旗公安局</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内蒙古锐翔项目管理有限公司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AZQZCS-G-H-250001</w:t>
      </w:r>
    </w:p>
    <w:p>
      <w:pPr>
        <w:pStyle w:val="null5"/>
        <w:jc w:val="center"/>
      </w:pPr>
      <w:r>
        <w:rPr>
          <w:rFonts w:ascii="仿宋_GB2312" w:hAnsi="仿宋_GB2312" w:cs="仿宋_GB2312" w:eastAsia="仿宋_GB2312"/>
        </w:rPr>
        <w:t>2025年01月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内蒙古锐翔项目管理有限公司</w:t>
      </w:r>
      <w:r>
        <w:rPr>
          <w:rFonts w:ascii="仿宋_GB2312" w:hAnsi="仿宋_GB2312" w:cs="仿宋_GB2312" w:eastAsia="仿宋_GB2312"/>
        </w:rPr>
        <w:t xml:space="preserve"> 受 </w:t>
      </w:r>
      <w:r>
        <w:rPr>
          <w:rFonts w:ascii="仿宋_GB2312" w:hAnsi="仿宋_GB2312" w:cs="仿宋_GB2312" w:eastAsia="仿宋_GB2312"/>
        </w:rPr>
        <w:t>阿拉善左旗公安局</w:t>
      </w:r>
      <w:r>
        <w:rPr>
          <w:rFonts w:ascii="仿宋_GB2312" w:hAnsi="仿宋_GB2312" w:cs="仿宋_GB2312" w:eastAsia="仿宋_GB2312"/>
        </w:rPr>
        <w:t xml:space="preserve"> 委托，采用公开招标方式组织采购 </w:t>
      </w:r>
      <w:r>
        <w:rPr>
          <w:rFonts w:ascii="仿宋_GB2312" w:hAnsi="仿宋_GB2312" w:cs="仿宋_GB2312" w:eastAsia="仿宋_GB2312"/>
        </w:rPr>
        <w:t>阿拉善左旗看守所拘留所智慧监管平台建设设备采购项目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阿拉善左旗看守所拘留所智慧监管平台建设设备采购项目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AZQZCS-G-H-250001</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阿左旗政采计划[2025]00013</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1,500,000.00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阿拉善左旗看守所拘留所智慧监管平台建设设备采购项目</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1,500,000.00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软件和信息技术服务业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2.开标后资格审查时，投标人未被列入失信被执行人、税收违法黑名单、政府采购严重违法失信行为记录名单，相关信用情况通过“信用中国”网站、中国政府采购网等渠道查询。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内蒙古锐翔项目管理有限公司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内蒙古自治区阿拉善盟阿拉善左旗巴彦浩特南环路街道学苑社区内蒙古锦辰物流园3号楼商铺108 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750300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伊倩</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18604837830</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阿拉善左旗公安局</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阿拉善左旗巴彦浩特镇</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750300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阿拉善左旗公安局</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0483-8770132</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采购单位应在政府采购招投标管理办法规定的时限内确定中标人。</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代理服务费用收取对象：采购人</w:t>
            </w:r>
          </w:p>
          <w:p>
            <w:pPr>
              <w:pStyle w:val="null5"/>
              <w:jc w:val="left"/>
            </w:pPr>
            <w:r>
              <w:rPr>
                <w:rFonts w:ascii="仿宋_GB2312" w:hAnsi="仿宋_GB2312" w:cs="仿宋_GB2312" w:eastAsia="仿宋_GB2312"/>
              </w:rPr>
              <w:t>代理服务费收费标准：收取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采购包1：不属于专门面向中小企业采购。</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本项目可兼投1包，本项目可兼中1包</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阿拉善左旗公安局</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内蒙古锐翔项目管理有限公司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查询记录：对列入失信被执行人、税收违法黑名单、政府采购严重违法失信行为记录名单、信用报告进行查询；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税收违法黑名单、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审查供应商2022或2024年度经会计师事务所出具的财务审计报告或其基本开户银行出具的近一年内的银行资信证明。</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1.提供递交响应文件截止之日前一年内（至少三个月）的良好缴纳税收的相关凭据。（以税务机关提供的纳税凭据或银行入账单为准）2.提供递交响应文件截止之日前一年内（至少三个月）单位和项目参与人个人缴纳社会保险的凭证。（以专用收据或社会保险缴纳清单为准） 注：其他组织和自然人也需要提供缴纳税收的凭据金额缴纳社保的凭据。依法免税或不需要缴纳社会保障资金的供应商，应提供相应文件证明其依法免税或不需要缴纳社会保障资金。</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审查投标人提供的具有履行合同所必需的设备和专业技术能力的证明材料。（如网络安装工程师等专业技术人员资格等级要求，应明确要求资格等级限制）</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本项目不接受联合体投标。</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面向企业情况审查</w:t>
            </w:r>
          </w:p>
        </w:tc>
        <w:tc>
          <w:tcPr>
            <w:tcW w:type="dxa" w:w="4614"/>
          </w:tcPr>
          <w:p>
            <w:pPr>
              <w:pStyle w:val="null5"/>
              <w:jc w:val="left"/>
            </w:pPr>
            <w:r>
              <w:rPr>
                <w:rFonts w:ascii="仿宋_GB2312" w:hAnsi="仿宋_GB2312" w:cs="仿宋_GB2312" w:eastAsia="仿宋_GB2312"/>
              </w:rPr>
              <w:t>参与的供应商提供的货物全部由符合政策要求的企业制造</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为提高监管效率、提升监管质量，保障刑事诉讼、行政执行活动顺利进行，依法保护被监管人员合法权益，根据相关文件要求，监管场所建设任务，需通过信息技术手段，实现对监管对象的全面监控与管理。</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自合同签订之日起合同签订后20个日历日内交货日</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阿拉善左旗</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1、到货安装调试运行正常，验收合格后（以验收单签字盖章日期为准），达到付款条件起30日，支付合同总金额的30.00%</w:t>
            </w:r>
          </w:p>
          <w:p>
            <w:pPr>
              <w:pStyle w:val="null5"/>
              <w:jc w:val="left"/>
            </w:pPr>
            <w:r>
              <w:rPr>
                <w:rFonts w:ascii="仿宋_GB2312" w:hAnsi="仿宋_GB2312" w:cs="仿宋_GB2312" w:eastAsia="仿宋_GB2312"/>
              </w:rPr>
              <w:t>2、验收合格之日起1年内，达到付款条件起60日，支付合同总金额的30.00%</w:t>
            </w:r>
          </w:p>
          <w:p>
            <w:pPr>
              <w:pStyle w:val="null5"/>
              <w:jc w:val="left"/>
            </w:pPr>
            <w:r>
              <w:rPr>
                <w:rFonts w:ascii="仿宋_GB2312" w:hAnsi="仿宋_GB2312" w:cs="仿宋_GB2312" w:eastAsia="仿宋_GB2312"/>
              </w:rPr>
              <w:t>3、验收合格之日起2年内，达到付款条件起90日，支付合同总金额的40.00%</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标的名称：阿拉善左旗看守所拘留所智慧监管平台建设设备采购项目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具体技术参数要求详见附件</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本项目不收取保证金。</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r>
        <w:tc>
          <w:tcPr>
            <w:tcW w:type="dxa" w:w="1038"/>
          </w:tcPr>
          <w:p>
            <w:pPr>
              <w:pStyle w:val="null5"/>
              <w:jc w:val="left"/>
            </w:pPr>
            <w:r>
              <w:rPr>
                <w:rFonts w:ascii="仿宋_GB2312" w:hAnsi="仿宋_GB2312" w:cs="仿宋_GB2312" w:eastAsia="仿宋_GB2312"/>
              </w:rPr>
              <w:t>7</w:t>
            </w:r>
          </w:p>
        </w:tc>
        <w:tc>
          <w:tcPr>
            <w:tcW w:type="dxa" w:w="3115"/>
          </w:tcPr>
          <w:p>
            <w:pPr>
              <w:pStyle w:val="null5"/>
              <w:jc w:val="left"/>
            </w:pPr>
            <w:r>
              <w:rPr>
                <w:rFonts w:ascii="仿宋_GB2312" w:hAnsi="仿宋_GB2312" w:cs="仿宋_GB2312" w:eastAsia="仿宋_GB2312"/>
              </w:rPr>
              <w:t>联合体投标</w:t>
            </w:r>
          </w:p>
        </w:tc>
        <w:tc>
          <w:tcPr>
            <w:tcW w:type="dxa" w:w="4153"/>
          </w:tcPr>
          <w:p>
            <w:pPr>
              <w:pStyle w:val="null5"/>
              <w:jc w:val="left"/>
            </w:pPr>
            <w:r>
              <w:rPr>
                <w:rFonts w:ascii="仿宋_GB2312" w:hAnsi="仿宋_GB2312" w:cs="仿宋_GB2312" w:eastAsia="仿宋_GB2312"/>
              </w:rPr>
              <w:t>本项目不接受联合体投标。</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技术参数</w:t>
            </w:r>
          </w:p>
        </w:tc>
        <w:tc>
          <w:tcPr>
            <w:tcW w:type="dxa" w:w="3115"/>
          </w:tcPr>
          <w:p>
            <w:pPr>
              <w:pStyle w:val="null5"/>
              <w:jc w:val="left"/>
            </w:pPr>
            <w:r>
              <w:rPr>
                <w:rFonts w:ascii="仿宋_GB2312" w:hAnsi="仿宋_GB2312" w:cs="仿宋_GB2312" w:eastAsia="仿宋_GB2312"/>
              </w:rPr>
              <w:t>产品技术参数全部满足或优于招标文件要求的得25分；标注“▲”的参数为重要技术参数，每有一项不满足扣2分；未标注“▲”的参数为一般参数，每有一项不满足扣1分；直到扣完25分为止。（注：以投标文件中技术偏离表以及技术参数中要求提供检测报告的，投标人应提供检测报告复印件并加盖投标人公章予以佐证，未提供不得分）</w:t>
            </w:r>
          </w:p>
        </w:tc>
        <w:tc>
          <w:tcPr>
            <w:tcW w:type="dxa" w:w="1038"/>
          </w:tcPr>
          <w:p>
            <w:pPr>
              <w:pStyle w:val="null5"/>
              <w:jc w:val="right"/>
            </w:pPr>
            <w:r>
              <w:rPr>
                <w:rFonts w:ascii="仿宋_GB2312" w:hAnsi="仿宋_GB2312" w:cs="仿宋_GB2312" w:eastAsia="仿宋_GB2312"/>
              </w:rPr>
              <w:t>25.00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项目实施技术方案</w:t>
            </w:r>
          </w:p>
        </w:tc>
        <w:tc>
          <w:tcPr>
            <w:tcW w:type="dxa" w:w="3115"/>
          </w:tcPr>
          <w:p>
            <w:pPr>
              <w:pStyle w:val="null5"/>
              <w:jc w:val="left"/>
            </w:pPr>
            <w:r>
              <w:rPr>
                <w:rFonts w:ascii="仿宋_GB2312" w:hAnsi="仿宋_GB2312" w:cs="仿宋_GB2312" w:eastAsia="仿宋_GB2312"/>
              </w:rPr>
              <w:t>供应商提供针对本项目的实施方案，应包括但不限于组织实施流程、项目进度计划安排、关键节点的控制、质量保障、项目测试、相关人员证书及验收方案等内容，进行综合评价；项目实施技术方案整体完整全面得8分；项目实施技术方案良得6分；项目实施技术方案一般得4分；项目实施技术方案还待完善得2分；未提供不得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售后及运维服务方案</w:t>
            </w:r>
          </w:p>
        </w:tc>
        <w:tc>
          <w:tcPr>
            <w:tcW w:type="dxa" w:w="3115"/>
          </w:tcPr>
          <w:p>
            <w:pPr>
              <w:pStyle w:val="null5"/>
              <w:jc w:val="left"/>
            </w:pPr>
            <w:r>
              <w:rPr>
                <w:rFonts w:ascii="仿宋_GB2312" w:hAnsi="仿宋_GB2312" w:cs="仿宋_GB2312" w:eastAsia="仿宋_GB2312"/>
              </w:rPr>
              <w:t>根据投标人提供的售后及运维服务方案，进行综合评价，售后服务的内容详细、运维服务方案合理性、科学性、故障响应时间及有服务承诺、技术支持能力、重大故障的应急预案和处置措施等进行综合评价；售后及运维服务方案优得7分；售后及运维服务方案良得5分；售后及运维服务方案內容一般得3分；未提供不得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培训方案</w:t>
            </w:r>
          </w:p>
        </w:tc>
        <w:tc>
          <w:tcPr>
            <w:tcW w:type="dxa" w:w="3115"/>
          </w:tcPr>
          <w:p>
            <w:pPr>
              <w:pStyle w:val="null5"/>
              <w:jc w:val="left"/>
            </w:pPr>
            <w:r>
              <w:rPr>
                <w:rFonts w:ascii="仿宋_GB2312" w:hAnsi="仿宋_GB2312" w:cs="仿宋_GB2312" w:eastAsia="仿宋_GB2312"/>
              </w:rPr>
              <w:t>根据培训方案进行综合评价，针对本项目制定详细培训计划、培训方式、培训内容全面性和计划合理性、培训目标、课程安排、培训师能力等诸多涉及本项目的内容，进行综合评价；培训方案优的得5分；培训方案內容一般得3分；还待完善得1分；未提供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服务承诺</w:t>
            </w:r>
          </w:p>
        </w:tc>
        <w:tc>
          <w:tcPr>
            <w:tcW w:type="dxa" w:w="3115"/>
          </w:tcPr>
          <w:p>
            <w:pPr>
              <w:pStyle w:val="null5"/>
              <w:jc w:val="left"/>
            </w:pPr>
            <w:r>
              <w:rPr>
                <w:rFonts w:ascii="仿宋_GB2312" w:hAnsi="仿宋_GB2312" w:cs="仿宋_GB2312" w:eastAsia="仿宋_GB2312"/>
              </w:rPr>
              <w:t>看守所“十四五”智慧监管建设项目整体质保承诺：投标人承诺提供项目三年整体质保；投标人需提供质保承诺函并加盖公章，评委根据服务承诺内容酌情负分；优的得5分；服务承诺內容一般得3分；还待完善得1分；未提供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企业业绩</w:t>
            </w:r>
          </w:p>
        </w:tc>
        <w:tc>
          <w:tcPr>
            <w:tcW w:type="dxa" w:w="3115"/>
          </w:tcPr>
          <w:p>
            <w:pPr>
              <w:pStyle w:val="null5"/>
              <w:jc w:val="left"/>
            </w:pPr>
            <w:r>
              <w:rPr>
                <w:rFonts w:ascii="仿宋_GB2312" w:hAnsi="仿宋_GB2312" w:cs="仿宋_GB2312" w:eastAsia="仿宋_GB2312"/>
              </w:rPr>
              <w:t>为确保看守所“十四五”智慧监管建设项目能够快速投入运行，所投主要产品投标人须提供相关或同类业绩平台使用证明，每提供一份的得1分，最高得5分，未提供不得分；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体系认证</w:t>
            </w:r>
          </w:p>
        </w:tc>
        <w:tc>
          <w:tcPr>
            <w:tcW w:type="dxa" w:w="3115"/>
          </w:tcPr>
          <w:p>
            <w:pPr>
              <w:pStyle w:val="null5"/>
              <w:jc w:val="left"/>
            </w:pPr>
            <w:r>
              <w:rPr>
                <w:rFonts w:ascii="仿宋_GB2312" w:hAnsi="仿宋_GB2312" w:cs="仿宋_GB2312" w:eastAsia="仿宋_GB2312"/>
              </w:rPr>
              <w:t>所投智慧监管综合管理平台厂商具备信息技术服务管理体系认证证书、环境管理体系认证证书、质量管理体系认证证书、信息安全管理体系认证证书、职业健康安全管理体系认证证书，每提供1项得1分，最高得5分。（投标时在投标文件中提供有效复印件，未提供或提供的证书内容不清晰，无法辨别的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综合服务</w:t>
            </w:r>
          </w:p>
        </w:tc>
        <w:tc>
          <w:tcPr>
            <w:tcW w:type="dxa" w:w="3115"/>
          </w:tcPr>
          <w:p>
            <w:pPr>
              <w:pStyle w:val="null5"/>
              <w:jc w:val="left"/>
            </w:pPr>
            <w:r>
              <w:rPr>
                <w:rFonts w:ascii="仿宋_GB2312" w:hAnsi="仿宋_GB2312" w:cs="仿宋_GB2312" w:eastAsia="仿宋_GB2312"/>
              </w:rPr>
              <w:t>1、所投智慧监管综合管理平台厂商具有CMMI5软件能力成熟度模型集成的得5分,具有CMMI3软件能力成熟度模型集成及以上的得1分,未提供不得分。 2、所投智慧监管综合管理平台厂商提供全国公安监所网上检查督导平台系统接入能力证明的得5分，未提供不得分。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