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11E51">
      <w:pPr>
        <w:jc w:val="center"/>
        <w:rPr>
          <w:rFonts w:hint="eastAsia" w:ascii="宋体" w:hAnsi="宋体" w:eastAsia="宋体" w:cs="宋体"/>
          <w:b/>
          <w:color w:val="000000" w:themeColor="text1"/>
          <w:sz w:val="24"/>
          <w:szCs w:val="24"/>
          <w14:textFill>
            <w14:solidFill>
              <w14:schemeClr w14:val="tx1"/>
            </w14:solidFill>
          </w14:textFill>
        </w:rPr>
      </w:pPr>
      <w:bookmarkStart w:id="1" w:name="_GoBack"/>
      <w:r>
        <w:rPr>
          <w:rFonts w:hint="eastAsia" w:ascii="宋体" w:hAnsi="宋体" w:eastAsia="宋体" w:cs="宋体"/>
          <w:b/>
          <w:color w:val="000000" w:themeColor="text1"/>
          <w:sz w:val="36"/>
          <w:szCs w:val="36"/>
          <w:lang w:val="en-US" w:eastAsia="zh-CN"/>
          <w14:textFill>
            <w14:solidFill>
              <w14:schemeClr w14:val="tx1"/>
            </w14:solidFill>
          </w14:textFill>
        </w:rPr>
        <w:t>额济纳旗人民</w:t>
      </w:r>
      <w:r>
        <w:rPr>
          <w:rFonts w:hint="eastAsia" w:ascii="宋体" w:hAnsi="宋体" w:eastAsia="宋体" w:cs="宋体"/>
          <w:b/>
          <w:color w:val="000000" w:themeColor="text1"/>
          <w:sz w:val="36"/>
          <w:szCs w:val="36"/>
          <w14:textFill>
            <w14:solidFill>
              <w14:schemeClr w14:val="tx1"/>
            </w14:solidFill>
          </w14:textFill>
        </w:rPr>
        <w:t>医院信息化建设项目配置及性能参数</w:t>
      </w:r>
      <w:bookmarkEnd w:id="1"/>
    </w:p>
    <w:p w14:paraId="33F4F519">
      <w:pPr>
        <w:jc w:val="center"/>
        <w:rPr>
          <w:rFonts w:hint="eastAsia" w:ascii="宋体" w:hAnsi="宋体" w:eastAsia="宋体" w:cs="宋体"/>
          <w:b/>
          <w:color w:val="000000" w:themeColor="text1"/>
          <w:sz w:val="24"/>
          <w:szCs w:val="24"/>
          <w14:textFill>
            <w14:solidFill>
              <w14:schemeClr w14:val="tx1"/>
            </w14:solidFill>
          </w14:textFill>
        </w:rPr>
      </w:pPr>
    </w:p>
    <w:p w14:paraId="576B9A98">
      <w:pPr>
        <w:jc w:val="lef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一、设备配置</w:t>
      </w:r>
    </w:p>
    <w:tbl>
      <w:tblPr>
        <w:tblStyle w:val="13"/>
        <w:tblW w:w="8379" w:type="dxa"/>
        <w:tblInd w:w="93" w:type="dxa"/>
        <w:tblLayout w:type="autofit"/>
        <w:tblCellMar>
          <w:top w:w="0" w:type="dxa"/>
          <w:left w:w="108" w:type="dxa"/>
          <w:bottom w:w="0" w:type="dxa"/>
          <w:right w:w="108" w:type="dxa"/>
        </w:tblCellMar>
      </w:tblPr>
      <w:tblGrid>
        <w:gridCol w:w="960"/>
        <w:gridCol w:w="4221"/>
        <w:gridCol w:w="1020"/>
        <w:gridCol w:w="855"/>
        <w:gridCol w:w="1323"/>
      </w:tblGrid>
      <w:tr w14:paraId="650DA6D7">
        <w:tblPrEx>
          <w:tblCellMar>
            <w:top w:w="0" w:type="dxa"/>
            <w:left w:w="108" w:type="dxa"/>
            <w:bottom w:w="0" w:type="dxa"/>
            <w:right w:w="108" w:type="dxa"/>
          </w:tblCellMar>
        </w:tblPrEx>
        <w:trPr>
          <w:trHeight w:val="360" w:hRule="atLeast"/>
        </w:trPr>
        <w:tc>
          <w:tcPr>
            <w:tcW w:w="960" w:type="dxa"/>
            <w:tcBorders>
              <w:top w:val="single" w:color="auto" w:sz="8" w:space="0"/>
              <w:left w:val="single" w:color="auto" w:sz="8" w:space="0"/>
              <w:bottom w:val="single" w:color="auto" w:sz="8" w:space="0"/>
              <w:right w:val="single" w:color="auto" w:sz="8" w:space="0"/>
            </w:tcBorders>
            <w:vAlign w:val="center"/>
          </w:tcPr>
          <w:p w14:paraId="0F655FF0">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序号</w:t>
            </w:r>
          </w:p>
        </w:tc>
        <w:tc>
          <w:tcPr>
            <w:tcW w:w="4221" w:type="dxa"/>
            <w:tcBorders>
              <w:top w:val="single" w:color="auto" w:sz="8" w:space="0"/>
              <w:left w:val="nil"/>
              <w:bottom w:val="single" w:color="auto" w:sz="8" w:space="0"/>
              <w:right w:val="single" w:color="auto" w:sz="8" w:space="0"/>
            </w:tcBorders>
            <w:vAlign w:val="center"/>
          </w:tcPr>
          <w:p w14:paraId="0E63F020">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名称</w:t>
            </w:r>
          </w:p>
        </w:tc>
        <w:tc>
          <w:tcPr>
            <w:tcW w:w="1020" w:type="dxa"/>
            <w:tcBorders>
              <w:top w:val="single" w:color="auto" w:sz="8" w:space="0"/>
              <w:left w:val="nil"/>
              <w:bottom w:val="single" w:color="auto" w:sz="8" w:space="0"/>
              <w:right w:val="single" w:color="auto" w:sz="8" w:space="0"/>
            </w:tcBorders>
            <w:vAlign w:val="center"/>
          </w:tcPr>
          <w:p w14:paraId="56ED57D1">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单位</w:t>
            </w:r>
          </w:p>
        </w:tc>
        <w:tc>
          <w:tcPr>
            <w:tcW w:w="855" w:type="dxa"/>
            <w:tcBorders>
              <w:top w:val="single" w:color="auto" w:sz="8" w:space="0"/>
              <w:left w:val="nil"/>
              <w:bottom w:val="single" w:color="auto" w:sz="8" w:space="0"/>
              <w:right w:val="single" w:color="auto" w:sz="8" w:space="0"/>
            </w:tcBorders>
            <w:vAlign w:val="center"/>
          </w:tcPr>
          <w:p w14:paraId="55C26E68">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数量</w:t>
            </w:r>
          </w:p>
        </w:tc>
        <w:tc>
          <w:tcPr>
            <w:tcW w:w="1323" w:type="dxa"/>
            <w:tcBorders>
              <w:top w:val="single" w:color="auto" w:sz="8" w:space="0"/>
              <w:left w:val="nil"/>
              <w:bottom w:val="single" w:color="auto" w:sz="8" w:space="0"/>
              <w:right w:val="single" w:color="auto" w:sz="8" w:space="0"/>
            </w:tcBorders>
            <w:vAlign w:val="center"/>
          </w:tcPr>
          <w:p w14:paraId="40D184F6">
            <w:pPr>
              <w:widowControl/>
              <w:jc w:val="center"/>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val="en-US" w:eastAsia="zh-CN"/>
              </w:rPr>
              <w:t>合价（元）</w:t>
            </w:r>
          </w:p>
        </w:tc>
      </w:tr>
      <w:tr w14:paraId="0E19143E">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08C0C3DF">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7419" w:type="dxa"/>
            <w:gridSpan w:val="4"/>
            <w:tcBorders>
              <w:top w:val="nil"/>
              <w:left w:val="nil"/>
              <w:bottom w:val="single" w:color="auto" w:sz="8" w:space="0"/>
              <w:right w:val="single" w:color="auto" w:sz="8" w:space="0"/>
            </w:tcBorders>
            <w:vAlign w:val="center"/>
          </w:tcPr>
          <w:p w14:paraId="3EBB35D8">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安全设备</w:t>
            </w:r>
          </w:p>
        </w:tc>
      </w:tr>
      <w:tr w14:paraId="3C3F60A4">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19AC9B28">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1.1</w:t>
            </w:r>
          </w:p>
        </w:tc>
        <w:tc>
          <w:tcPr>
            <w:tcW w:w="4221" w:type="dxa"/>
            <w:tcBorders>
              <w:top w:val="nil"/>
              <w:left w:val="nil"/>
              <w:bottom w:val="single" w:color="auto" w:sz="8" w:space="0"/>
              <w:right w:val="single" w:color="auto" w:sz="8" w:space="0"/>
            </w:tcBorders>
          </w:tcPr>
          <w:p w14:paraId="241F813F">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sz w:val="24"/>
                <w:szCs w:val="24"/>
              </w:rPr>
              <w:t>超融合一体机</w:t>
            </w:r>
          </w:p>
        </w:tc>
        <w:tc>
          <w:tcPr>
            <w:tcW w:w="1020" w:type="dxa"/>
            <w:tcBorders>
              <w:top w:val="nil"/>
              <w:left w:val="nil"/>
              <w:bottom w:val="single" w:color="auto" w:sz="8" w:space="0"/>
              <w:right w:val="single" w:color="auto" w:sz="8" w:space="0"/>
            </w:tcBorders>
            <w:vAlign w:val="center"/>
          </w:tcPr>
          <w:p w14:paraId="0926806D">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套</w:t>
            </w:r>
          </w:p>
        </w:tc>
        <w:tc>
          <w:tcPr>
            <w:tcW w:w="855" w:type="dxa"/>
            <w:tcBorders>
              <w:top w:val="nil"/>
              <w:left w:val="nil"/>
              <w:bottom w:val="single" w:color="auto" w:sz="8" w:space="0"/>
              <w:right w:val="single" w:color="auto" w:sz="8" w:space="0"/>
            </w:tcBorders>
            <w:vAlign w:val="center"/>
          </w:tcPr>
          <w:p w14:paraId="076385F0">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1323" w:type="dxa"/>
            <w:vMerge w:val="restart"/>
            <w:tcBorders>
              <w:top w:val="nil"/>
              <w:left w:val="nil"/>
              <w:right w:val="single" w:color="auto" w:sz="8" w:space="0"/>
            </w:tcBorders>
            <w:vAlign w:val="center"/>
          </w:tcPr>
          <w:p w14:paraId="05488012">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800000</w:t>
            </w:r>
          </w:p>
        </w:tc>
      </w:tr>
      <w:tr w14:paraId="1EB48169">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75336686">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1.2</w:t>
            </w:r>
          </w:p>
        </w:tc>
        <w:tc>
          <w:tcPr>
            <w:tcW w:w="4221" w:type="dxa"/>
            <w:tcBorders>
              <w:top w:val="nil"/>
              <w:left w:val="nil"/>
              <w:bottom w:val="single" w:color="auto" w:sz="8" w:space="0"/>
              <w:right w:val="single" w:color="auto" w:sz="8" w:space="0"/>
            </w:tcBorders>
          </w:tcPr>
          <w:p w14:paraId="45A275DF">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sz w:val="24"/>
                <w:szCs w:val="24"/>
              </w:rPr>
              <w:t>交换机</w:t>
            </w:r>
          </w:p>
        </w:tc>
        <w:tc>
          <w:tcPr>
            <w:tcW w:w="1020" w:type="dxa"/>
            <w:tcBorders>
              <w:top w:val="nil"/>
              <w:left w:val="nil"/>
              <w:bottom w:val="single" w:color="auto" w:sz="8" w:space="0"/>
              <w:right w:val="single" w:color="auto" w:sz="8" w:space="0"/>
            </w:tcBorders>
            <w:vAlign w:val="center"/>
          </w:tcPr>
          <w:p w14:paraId="24BA5C5F">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台</w:t>
            </w:r>
          </w:p>
        </w:tc>
        <w:tc>
          <w:tcPr>
            <w:tcW w:w="855" w:type="dxa"/>
            <w:tcBorders>
              <w:top w:val="nil"/>
              <w:left w:val="nil"/>
              <w:bottom w:val="single" w:color="auto" w:sz="8" w:space="0"/>
              <w:right w:val="single" w:color="auto" w:sz="8" w:space="0"/>
            </w:tcBorders>
            <w:vAlign w:val="center"/>
          </w:tcPr>
          <w:p w14:paraId="526EC819">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1323" w:type="dxa"/>
            <w:vMerge w:val="continue"/>
            <w:tcBorders>
              <w:left w:val="nil"/>
              <w:right w:val="single" w:color="auto" w:sz="8" w:space="0"/>
            </w:tcBorders>
            <w:vAlign w:val="center"/>
          </w:tcPr>
          <w:p w14:paraId="3F5729DD">
            <w:pPr>
              <w:widowControl/>
              <w:jc w:val="center"/>
              <w:rPr>
                <w:rFonts w:hint="eastAsia" w:ascii="宋体" w:hAnsi="宋体" w:eastAsia="宋体" w:cs="宋体"/>
                <w:b w:val="0"/>
                <w:bCs w:val="0"/>
                <w:color w:val="000000"/>
                <w:kern w:val="0"/>
                <w:sz w:val="24"/>
                <w:szCs w:val="24"/>
              </w:rPr>
            </w:pPr>
          </w:p>
        </w:tc>
      </w:tr>
      <w:tr w14:paraId="34D64383">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0A2FE914">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1.3</w:t>
            </w:r>
          </w:p>
        </w:tc>
        <w:tc>
          <w:tcPr>
            <w:tcW w:w="4221" w:type="dxa"/>
            <w:tcBorders>
              <w:top w:val="nil"/>
              <w:left w:val="nil"/>
              <w:bottom w:val="single" w:color="auto" w:sz="8" w:space="0"/>
              <w:right w:val="single" w:color="auto" w:sz="8" w:space="0"/>
            </w:tcBorders>
          </w:tcPr>
          <w:p w14:paraId="0E531CF0">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sz w:val="24"/>
                <w:szCs w:val="24"/>
              </w:rPr>
              <w:t>上网行为管理</w:t>
            </w:r>
          </w:p>
        </w:tc>
        <w:tc>
          <w:tcPr>
            <w:tcW w:w="1020" w:type="dxa"/>
            <w:tcBorders>
              <w:top w:val="nil"/>
              <w:left w:val="nil"/>
              <w:bottom w:val="single" w:color="auto" w:sz="8" w:space="0"/>
              <w:right w:val="single" w:color="auto" w:sz="8" w:space="0"/>
            </w:tcBorders>
            <w:vAlign w:val="center"/>
          </w:tcPr>
          <w:p w14:paraId="1428471B">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台</w:t>
            </w:r>
          </w:p>
        </w:tc>
        <w:tc>
          <w:tcPr>
            <w:tcW w:w="855" w:type="dxa"/>
            <w:tcBorders>
              <w:top w:val="nil"/>
              <w:left w:val="nil"/>
              <w:bottom w:val="single" w:color="auto" w:sz="8" w:space="0"/>
              <w:right w:val="single" w:color="auto" w:sz="8" w:space="0"/>
            </w:tcBorders>
            <w:vAlign w:val="center"/>
          </w:tcPr>
          <w:p w14:paraId="487788A0">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1323" w:type="dxa"/>
            <w:vMerge w:val="continue"/>
            <w:tcBorders>
              <w:left w:val="nil"/>
              <w:right w:val="single" w:color="auto" w:sz="8" w:space="0"/>
            </w:tcBorders>
            <w:vAlign w:val="center"/>
          </w:tcPr>
          <w:p w14:paraId="4DB2B4DA">
            <w:pPr>
              <w:widowControl/>
              <w:jc w:val="center"/>
              <w:rPr>
                <w:rFonts w:hint="eastAsia" w:ascii="宋体" w:hAnsi="宋体" w:eastAsia="宋体" w:cs="宋体"/>
                <w:b w:val="0"/>
                <w:bCs w:val="0"/>
                <w:color w:val="000000"/>
                <w:kern w:val="0"/>
                <w:sz w:val="24"/>
                <w:szCs w:val="24"/>
              </w:rPr>
            </w:pPr>
          </w:p>
        </w:tc>
      </w:tr>
      <w:tr w14:paraId="6AF045A4">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36E18306">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1.4</w:t>
            </w:r>
          </w:p>
        </w:tc>
        <w:tc>
          <w:tcPr>
            <w:tcW w:w="4221" w:type="dxa"/>
            <w:tcBorders>
              <w:top w:val="nil"/>
              <w:left w:val="nil"/>
              <w:bottom w:val="single" w:color="auto" w:sz="8" w:space="0"/>
              <w:right w:val="single" w:color="auto" w:sz="8" w:space="0"/>
            </w:tcBorders>
          </w:tcPr>
          <w:p w14:paraId="19B9FFEA">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sz w:val="24"/>
                <w:szCs w:val="24"/>
              </w:rPr>
              <w:t>等保一体机</w:t>
            </w:r>
          </w:p>
        </w:tc>
        <w:tc>
          <w:tcPr>
            <w:tcW w:w="1020" w:type="dxa"/>
            <w:tcBorders>
              <w:top w:val="nil"/>
              <w:left w:val="nil"/>
              <w:bottom w:val="single" w:color="auto" w:sz="8" w:space="0"/>
              <w:right w:val="single" w:color="auto" w:sz="8" w:space="0"/>
            </w:tcBorders>
            <w:vAlign w:val="center"/>
          </w:tcPr>
          <w:p w14:paraId="2AED9E7A">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套</w:t>
            </w:r>
          </w:p>
        </w:tc>
        <w:tc>
          <w:tcPr>
            <w:tcW w:w="855" w:type="dxa"/>
            <w:tcBorders>
              <w:top w:val="nil"/>
              <w:left w:val="nil"/>
              <w:bottom w:val="single" w:color="auto" w:sz="8" w:space="0"/>
              <w:right w:val="single" w:color="auto" w:sz="8" w:space="0"/>
            </w:tcBorders>
            <w:vAlign w:val="center"/>
          </w:tcPr>
          <w:p w14:paraId="59C52817">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1323" w:type="dxa"/>
            <w:vMerge w:val="continue"/>
            <w:tcBorders>
              <w:left w:val="nil"/>
              <w:right w:val="single" w:color="auto" w:sz="8" w:space="0"/>
            </w:tcBorders>
            <w:vAlign w:val="center"/>
          </w:tcPr>
          <w:p w14:paraId="2DE30B41">
            <w:pPr>
              <w:widowControl/>
              <w:jc w:val="center"/>
              <w:rPr>
                <w:rFonts w:hint="eastAsia" w:ascii="宋体" w:hAnsi="宋体" w:eastAsia="宋体" w:cs="宋体"/>
                <w:b w:val="0"/>
                <w:bCs w:val="0"/>
                <w:color w:val="000000"/>
                <w:kern w:val="0"/>
                <w:sz w:val="24"/>
                <w:szCs w:val="24"/>
              </w:rPr>
            </w:pPr>
          </w:p>
        </w:tc>
      </w:tr>
      <w:tr w14:paraId="6EBC2258">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6A1CB2CC">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1.5</w:t>
            </w:r>
          </w:p>
        </w:tc>
        <w:tc>
          <w:tcPr>
            <w:tcW w:w="4221" w:type="dxa"/>
            <w:tcBorders>
              <w:top w:val="nil"/>
              <w:left w:val="nil"/>
              <w:bottom w:val="single" w:color="auto" w:sz="8" w:space="0"/>
              <w:right w:val="single" w:color="auto" w:sz="8" w:space="0"/>
            </w:tcBorders>
          </w:tcPr>
          <w:p w14:paraId="23493AE1">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sz w:val="24"/>
                <w:szCs w:val="24"/>
              </w:rPr>
              <w:t>灾备产品（单独软件和一体机）</w:t>
            </w:r>
          </w:p>
        </w:tc>
        <w:tc>
          <w:tcPr>
            <w:tcW w:w="1020" w:type="dxa"/>
            <w:tcBorders>
              <w:top w:val="nil"/>
              <w:left w:val="nil"/>
              <w:bottom w:val="single" w:color="auto" w:sz="8" w:space="0"/>
              <w:right w:val="single" w:color="auto" w:sz="8" w:space="0"/>
            </w:tcBorders>
            <w:vAlign w:val="center"/>
          </w:tcPr>
          <w:p w14:paraId="6692C502">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套</w:t>
            </w:r>
          </w:p>
        </w:tc>
        <w:tc>
          <w:tcPr>
            <w:tcW w:w="855" w:type="dxa"/>
            <w:tcBorders>
              <w:top w:val="nil"/>
              <w:left w:val="nil"/>
              <w:bottom w:val="single" w:color="auto" w:sz="8" w:space="0"/>
              <w:right w:val="single" w:color="auto" w:sz="8" w:space="0"/>
            </w:tcBorders>
            <w:vAlign w:val="center"/>
          </w:tcPr>
          <w:p w14:paraId="7A70F22C">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1323" w:type="dxa"/>
            <w:vMerge w:val="continue"/>
            <w:tcBorders>
              <w:left w:val="nil"/>
              <w:bottom w:val="single" w:color="auto" w:sz="8" w:space="0"/>
              <w:right w:val="single" w:color="auto" w:sz="8" w:space="0"/>
            </w:tcBorders>
            <w:vAlign w:val="center"/>
          </w:tcPr>
          <w:p w14:paraId="41BEC1F1">
            <w:pPr>
              <w:widowControl/>
              <w:jc w:val="center"/>
              <w:rPr>
                <w:rFonts w:hint="eastAsia" w:ascii="宋体" w:hAnsi="宋体" w:eastAsia="宋体" w:cs="宋体"/>
                <w:b w:val="0"/>
                <w:bCs w:val="0"/>
                <w:color w:val="000000"/>
                <w:kern w:val="0"/>
                <w:sz w:val="24"/>
                <w:szCs w:val="24"/>
              </w:rPr>
            </w:pPr>
          </w:p>
        </w:tc>
      </w:tr>
      <w:tr w14:paraId="4BCEA3F4">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6514F53C">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2</w:t>
            </w:r>
          </w:p>
        </w:tc>
        <w:tc>
          <w:tcPr>
            <w:tcW w:w="4221" w:type="dxa"/>
            <w:tcBorders>
              <w:top w:val="nil"/>
              <w:left w:val="nil"/>
              <w:bottom w:val="single" w:color="auto" w:sz="8" w:space="0"/>
              <w:right w:val="single" w:color="auto" w:sz="8" w:space="0"/>
            </w:tcBorders>
            <w:vAlign w:val="center"/>
          </w:tcPr>
          <w:p w14:paraId="2BD51A7E">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医院HRP一体化平台软件</w:t>
            </w:r>
          </w:p>
        </w:tc>
        <w:tc>
          <w:tcPr>
            <w:tcW w:w="1020" w:type="dxa"/>
            <w:tcBorders>
              <w:top w:val="nil"/>
              <w:left w:val="nil"/>
              <w:bottom w:val="single" w:color="auto" w:sz="8" w:space="0"/>
              <w:right w:val="single" w:color="auto" w:sz="8" w:space="0"/>
            </w:tcBorders>
            <w:vAlign w:val="center"/>
          </w:tcPr>
          <w:p w14:paraId="77B66CC0">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套</w:t>
            </w:r>
          </w:p>
        </w:tc>
        <w:tc>
          <w:tcPr>
            <w:tcW w:w="855" w:type="dxa"/>
            <w:tcBorders>
              <w:top w:val="nil"/>
              <w:left w:val="nil"/>
              <w:bottom w:val="single" w:color="auto" w:sz="8" w:space="0"/>
              <w:right w:val="single" w:color="auto" w:sz="8" w:space="0"/>
            </w:tcBorders>
            <w:vAlign w:val="center"/>
          </w:tcPr>
          <w:p w14:paraId="285A6EF8">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1323" w:type="dxa"/>
            <w:tcBorders>
              <w:top w:val="nil"/>
              <w:left w:val="nil"/>
              <w:bottom w:val="single" w:color="auto" w:sz="8" w:space="0"/>
              <w:right w:val="single" w:color="auto" w:sz="8" w:space="0"/>
            </w:tcBorders>
            <w:vAlign w:val="center"/>
          </w:tcPr>
          <w:p w14:paraId="540EBD43">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2100000</w:t>
            </w:r>
          </w:p>
        </w:tc>
      </w:tr>
      <w:tr w14:paraId="30ED8635">
        <w:tblPrEx>
          <w:tblCellMar>
            <w:top w:w="0" w:type="dxa"/>
            <w:left w:w="108" w:type="dxa"/>
            <w:bottom w:w="0" w:type="dxa"/>
            <w:right w:w="108" w:type="dxa"/>
          </w:tblCellMar>
        </w:tblPrEx>
        <w:trPr>
          <w:trHeight w:val="360" w:hRule="atLeast"/>
        </w:trPr>
        <w:tc>
          <w:tcPr>
            <w:tcW w:w="960" w:type="dxa"/>
            <w:tcBorders>
              <w:top w:val="nil"/>
              <w:left w:val="single" w:color="auto" w:sz="8" w:space="0"/>
              <w:bottom w:val="single" w:color="auto" w:sz="8" w:space="0"/>
              <w:right w:val="single" w:color="auto" w:sz="8" w:space="0"/>
            </w:tcBorders>
            <w:vAlign w:val="center"/>
          </w:tcPr>
          <w:p w14:paraId="1421FFAE">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3</w:t>
            </w:r>
          </w:p>
        </w:tc>
        <w:tc>
          <w:tcPr>
            <w:tcW w:w="4221" w:type="dxa"/>
            <w:tcBorders>
              <w:top w:val="nil"/>
              <w:left w:val="nil"/>
              <w:bottom w:val="single" w:color="auto" w:sz="8" w:space="0"/>
              <w:right w:val="single" w:color="auto" w:sz="8" w:space="0"/>
            </w:tcBorders>
            <w:vAlign w:val="center"/>
          </w:tcPr>
          <w:p w14:paraId="5F7BCBF7">
            <w:pPr>
              <w:widowControl/>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医保智能监控系统软件</w:t>
            </w:r>
          </w:p>
        </w:tc>
        <w:tc>
          <w:tcPr>
            <w:tcW w:w="1020" w:type="dxa"/>
            <w:tcBorders>
              <w:top w:val="nil"/>
              <w:left w:val="nil"/>
              <w:bottom w:val="single" w:color="auto" w:sz="8" w:space="0"/>
              <w:right w:val="single" w:color="auto" w:sz="8" w:space="0"/>
            </w:tcBorders>
            <w:vAlign w:val="center"/>
          </w:tcPr>
          <w:p w14:paraId="2DF1EA66">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套</w:t>
            </w:r>
          </w:p>
        </w:tc>
        <w:tc>
          <w:tcPr>
            <w:tcW w:w="855" w:type="dxa"/>
            <w:tcBorders>
              <w:top w:val="nil"/>
              <w:left w:val="nil"/>
              <w:bottom w:val="single" w:color="auto" w:sz="8" w:space="0"/>
              <w:right w:val="single" w:color="auto" w:sz="8" w:space="0"/>
            </w:tcBorders>
            <w:vAlign w:val="center"/>
          </w:tcPr>
          <w:p w14:paraId="2368346A">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w:t>
            </w:r>
          </w:p>
        </w:tc>
        <w:tc>
          <w:tcPr>
            <w:tcW w:w="1323" w:type="dxa"/>
            <w:tcBorders>
              <w:top w:val="nil"/>
              <w:left w:val="nil"/>
              <w:bottom w:val="single" w:color="auto" w:sz="8" w:space="0"/>
              <w:right w:val="single" w:color="auto" w:sz="8" w:space="0"/>
            </w:tcBorders>
            <w:vAlign w:val="center"/>
          </w:tcPr>
          <w:p w14:paraId="5A3F3A02">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300000</w:t>
            </w:r>
          </w:p>
        </w:tc>
      </w:tr>
      <w:tr w14:paraId="4DF562DA">
        <w:tblPrEx>
          <w:tblCellMar>
            <w:top w:w="0" w:type="dxa"/>
            <w:left w:w="108" w:type="dxa"/>
            <w:bottom w:w="0" w:type="dxa"/>
            <w:right w:w="108" w:type="dxa"/>
          </w:tblCellMar>
        </w:tblPrEx>
        <w:trPr>
          <w:trHeight w:val="360" w:hRule="atLeast"/>
        </w:trPr>
        <w:tc>
          <w:tcPr>
            <w:tcW w:w="7056" w:type="dxa"/>
            <w:gridSpan w:val="4"/>
            <w:tcBorders>
              <w:top w:val="nil"/>
              <w:left w:val="single" w:color="auto" w:sz="8" w:space="0"/>
              <w:bottom w:val="single" w:color="auto" w:sz="8" w:space="0"/>
              <w:right w:val="single" w:color="auto" w:sz="8" w:space="0"/>
            </w:tcBorders>
            <w:vAlign w:val="center"/>
          </w:tcPr>
          <w:p w14:paraId="49730ACC">
            <w:pPr>
              <w:widowControl/>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合计：</w:t>
            </w:r>
          </w:p>
        </w:tc>
        <w:tc>
          <w:tcPr>
            <w:tcW w:w="1323" w:type="dxa"/>
            <w:tcBorders>
              <w:top w:val="nil"/>
              <w:left w:val="nil"/>
              <w:bottom w:val="single" w:color="auto" w:sz="8" w:space="0"/>
              <w:right w:val="single" w:color="auto" w:sz="8" w:space="0"/>
            </w:tcBorders>
            <w:vAlign w:val="center"/>
          </w:tcPr>
          <w:p w14:paraId="21872BCB">
            <w:pPr>
              <w:widowControl/>
              <w:jc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color w:val="000000"/>
                <w:kern w:val="0"/>
                <w:sz w:val="24"/>
                <w:szCs w:val="24"/>
                <w:lang w:val="en-US" w:eastAsia="zh-CN"/>
              </w:rPr>
              <w:t>3200000</w:t>
            </w:r>
          </w:p>
        </w:tc>
      </w:tr>
    </w:tbl>
    <w:p w14:paraId="4A87482A">
      <w:pPr>
        <w:jc w:val="left"/>
        <w:rPr>
          <w:rFonts w:hint="eastAsia" w:ascii="宋体" w:hAnsi="宋体" w:eastAsia="宋体" w:cs="宋体"/>
          <w:b/>
          <w:color w:val="000000" w:themeColor="text1"/>
          <w:sz w:val="24"/>
          <w:szCs w:val="24"/>
          <w14:textFill>
            <w14:solidFill>
              <w14:schemeClr w14:val="tx1"/>
            </w14:solidFill>
          </w14:textFill>
        </w:rPr>
      </w:pPr>
    </w:p>
    <w:p w14:paraId="7208B82D">
      <w:pPr>
        <w:jc w:val="lef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二、技术要求</w:t>
      </w:r>
    </w:p>
    <w:tbl>
      <w:tblPr>
        <w:tblStyle w:val="14"/>
        <w:tblW w:w="8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970"/>
        <w:gridCol w:w="554"/>
        <w:gridCol w:w="554"/>
        <w:gridCol w:w="5663"/>
      </w:tblGrid>
      <w:tr w14:paraId="58292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538E96A0">
            <w:pPr>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970" w:type="dxa"/>
            <w:vAlign w:val="center"/>
          </w:tcPr>
          <w:p w14:paraId="203550C4">
            <w:pPr>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设备名称</w:t>
            </w:r>
          </w:p>
        </w:tc>
        <w:tc>
          <w:tcPr>
            <w:tcW w:w="554" w:type="dxa"/>
          </w:tcPr>
          <w:p w14:paraId="38684479">
            <w:pPr>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单位</w:t>
            </w:r>
          </w:p>
        </w:tc>
        <w:tc>
          <w:tcPr>
            <w:tcW w:w="554" w:type="dxa"/>
            <w:vAlign w:val="center"/>
          </w:tcPr>
          <w:p w14:paraId="1317A48F">
            <w:pPr>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数量</w:t>
            </w:r>
          </w:p>
        </w:tc>
        <w:tc>
          <w:tcPr>
            <w:tcW w:w="5663" w:type="dxa"/>
            <w:vAlign w:val="center"/>
          </w:tcPr>
          <w:p w14:paraId="0D10CA2F">
            <w:pPr>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性能参数</w:t>
            </w:r>
          </w:p>
        </w:tc>
      </w:tr>
      <w:tr w14:paraId="4C20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3D680C2C">
            <w:pPr>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1</w:t>
            </w:r>
          </w:p>
        </w:tc>
        <w:tc>
          <w:tcPr>
            <w:tcW w:w="7741" w:type="dxa"/>
            <w:gridSpan w:val="4"/>
            <w:vAlign w:val="center"/>
          </w:tcPr>
          <w:p w14:paraId="5BA7B6E5">
            <w:pP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安全设备</w:t>
            </w:r>
          </w:p>
        </w:tc>
      </w:tr>
      <w:tr w14:paraId="0D7F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463F352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970" w:type="dxa"/>
            <w:vAlign w:val="center"/>
          </w:tcPr>
          <w:p w14:paraId="01E607F6">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超融合一体机</w:t>
            </w:r>
          </w:p>
        </w:tc>
        <w:tc>
          <w:tcPr>
            <w:tcW w:w="554" w:type="dxa"/>
            <w:vAlign w:val="center"/>
          </w:tcPr>
          <w:p w14:paraId="70CC1B1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554" w:type="dxa"/>
            <w:vAlign w:val="center"/>
          </w:tcPr>
          <w:p w14:paraId="6138406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5663" w:type="dxa"/>
            <w:vAlign w:val="center"/>
          </w:tcPr>
          <w:p w14:paraId="7D6BD072">
            <w:pPr>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1、硬件要求</w:t>
            </w:r>
          </w:p>
          <w:p w14:paraId="7C5E4B7D">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 基本要求：超融合一体机服务器配置≥2节点（两节点架构需支持仲裁机制）。  </w:t>
            </w:r>
          </w:p>
          <w:p w14:paraId="75623D26">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(2) 处理器配置：每节点配置≥2颗CPU，总核数≥16（主频≥2.4GHz）。  </w:t>
            </w:r>
          </w:p>
          <w:p w14:paraId="2F1E923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(3) 内存配置：每节点内存总容量≥256GB（DDR4及以上规格）。  </w:t>
            </w:r>
          </w:p>
          <w:p w14:paraId="0E084C91">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(4) 硬盘配置：每节点含启动盘≥2块 SSD（单块容量≥240GB）；缓存盘≥2块 SSD（单块容量≥1.92TB）；数据盘≥6块 HDD（单块容量≥8TB）。  </w:t>
            </w:r>
          </w:p>
          <w:p w14:paraId="106C2A7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(5) 网口配置：每节点含千兆电口≥4个、万兆光口≥2个（含100G光模块）。  </w:t>
            </w:r>
          </w:p>
          <w:p w14:paraId="5B39AB2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(6) 接口配置：每节点含USB 3.0接口≥4个、VGA接口≥1个。  </w:t>
            </w:r>
          </w:p>
          <w:p w14:paraId="0F505475">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 电源配置：支持2+1冗余电源（单电源功率≥800W）。</w:t>
            </w:r>
          </w:p>
          <w:p w14:paraId="1EAC04B2">
            <w:pPr>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2、</w:t>
            </w:r>
            <w:r>
              <w:rPr>
                <w:rFonts w:hint="eastAsia" w:ascii="宋体" w:hAnsi="宋体" w:eastAsia="宋体" w:cs="宋体"/>
                <w:b/>
                <w:bCs/>
                <w:color w:val="000000"/>
                <w:kern w:val="0"/>
                <w:sz w:val="24"/>
                <w:szCs w:val="24"/>
              </w:rPr>
              <w:t>云管软件</w:t>
            </w:r>
          </w:p>
          <w:p w14:paraId="53C7744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 分布式架构：管理平台采用三副本分布式存储，支持多节点故障自动切换，管理平面可用性≥99.99%。  </w:t>
            </w:r>
          </w:p>
          <w:p w14:paraId="0796E10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(2) 镜像管理：支持操作系统、数据库、中间件等标准镜像及自定义镜像的全生命周期管理，支持ISO/OVA格式上传，镜像部署速度≤5分钟/100GB。  </w:t>
            </w:r>
          </w:p>
          <w:p w14:paraId="4DE456DC">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▲(3) 健康检查：支持集群级一键健康检测，可检测系统服务、存储卷、硬件传感器等100+指标，生成可视化检测报告并自动触发修复建议。  </w:t>
            </w:r>
          </w:p>
          <w:p w14:paraId="2873E66C">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(4) 资源展示：提供三维可视化大屏，实时展示CPU/内存/存储/网络的TOP 5性能瓶颈节点，支持阈值动态调整及趋势预测。  </w:t>
            </w:r>
          </w:p>
          <w:p w14:paraId="43F0CD31">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(5) 物理机纳管：支持通过IPMI协议纳管第三方物理服务器，可远程执行固件升级、硬件诊断等深度操作。  </w:t>
            </w:r>
          </w:p>
          <w:p w14:paraId="75865DE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 混合云模式：支持与主流公有云（阿里云、腾讯云）的VPN/专线互联，实现跨云资源编排、负载均衡及数据同步。</w:t>
            </w:r>
          </w:p>
          <w:p w14:paraId="4FE9E484">
            <w:pPr>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3、计算虚拟化</w:t>
            </w:r>
          </w:p>
          <w:p w14:paraId="7E3D971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 国产化核心技术：支持鲲鹏、海光等国产CPU架构，兼容统信UOS、麒麟等国产操作系统。  </w:t>
            </w:r>
          </w:p>
          <w:p w14:paraId="51DB6CB7">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(2) 虚拟机功能：虚拟机支持热添加CPU/内存/存储，支持SR-IOV硬件直通，单虚拟机最大分配64vCPU、1TB内存。  </w:t>
            </w:r>
          </w:p>
          <w:p w14:paraId="7019FB0F">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(3) 硬件兼容性：兼容戴尔PowerEdge、联想ThinkAgile、浪潮NF5280M6等主流服务器，利旧服务器兼容性通过率≥95%。  </w:t>
            </w:r>
          </w:p>
          <w:p w14:paraId="386C1D1C">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(4) 在线维护：支持KVM/QEMU内核在线升级，升级过程中虚拟机迁移时延≤50ms，业务中断时间≤1秒。  </w:t>
            </w:r>
          </w:p>
          <w:p w14:paraId="735769C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(5) 主机状态管理：通过AI算法预测主机故障概率，亚健康主机识别准确率≥90%，支持自动迁移关键业务。  </w:t>
            </w:r>
          </w:p>
          <w:p w14:paraId="51EA15D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(6) 内存容错：支持内存镜像（Memory Mirroring）和高级ECC纠错，内存故障时数据完整性保护等级达到ISO 27001标准。  </w:t>
            </w:r>
          </w:p>
          <w:p w14:paraId="55D07B8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(7) 备份策略：支持基于CBT（ Changed Block Tracking）的增量备份，1TB数据备份时间≤30分钟，恢复时间目标（RTO）≤15分钟。  </w:t>
            </w:r>
          </w:p>
          <w:p w14:paraId="2C4CC968">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 迁移能力：支持跨集群热迁移，迁移带宽≥10Gbps，迁移过程中虚拟机网络丢包率≤0.01%。</w:t>
            </w:r>
          </w:p>
          <w:p w14:paraId="5D13A2FD">
            <w:pPr>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4、存储虚拟化</w:t>
            </w:r>
          </w:p>
          <w:p w14:paraId="1ADBC7AC">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 国产化核心技术：采用自研分布式存储引擎，支持X86/ARM混合架构集群。  </w:t>
            </w:r>
          </w:p>
          <w:p w14:paraId="4C2BA1B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(2) 快照功能：支持单个虚拟机创建1024个时间点快照，快照创建速度≤2秒/虚拟机。  </w:t>
            </w:r>
          </w:p>
          <w:p w14:paraId="300582F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(3) 缓存优化：支持分层缓存（读缓存+写缓存），缓存命中率≥85%，写性能提升3倍以上。  </w:t>
            </w:r>
          </w:p>
          <w:p w14:paraId="6B47F3E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▲(4) 一致性快照：支持Oracle RAC、SQL Server Always On等集群应用的一致性快照，恢复后数据库日志无中断。  </w:t>
            </w:r>
          </w:p>
          <w:p w14:paraId="50ACC75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(5) 数据重建：硬件故障后自动触发数据重建，重建速度≥500MB/s，重建期间业务性能下降≤10%。  </w:t>
            </w:r>
          </w:p>
          <w:p w14:paraId="1DF17805">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(6) 智能限速：根据业务优先级动态调整重建带宽，关键业务带宽保障率≥90%。  </w:t>
            </w:r>
          </w:p>
          <w:p w14:paraId="27EB77B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(7) 多副本机制：支持2+1副本或4+2纠删码，副本分布策略支持跨机柜/跨数据中心。  </w:t>
            </w:r>
          </w:p>
          <w:p w14:paraId="740FF29A">
            <w:pPr>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5、网络虚拟化</w:t>
            </w:r>
          </w:p>
          <w:p w14:paraId="125ABB9D">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 国产化核心技术：支持国产SDN控制器，兼容盛科、华为等国产网卡驱动。  </w:t>
            </w:r>
          </w:p>
          <w:p w14:paraId="59A7BA2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(2) 虚拟网络组件：支持VXLAN网络分段（VNI≥16M），支持EVPN分布式路由，网络时延≤10μs。  </w:t>
            </w:r>
          </w:p>
          <w:p w14:paraId="6DDF50A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(3) 网络配置：支持图形化拓扑编排，可一键生成防火墙策略、QoS规则，配置生效时间≤30秒。  </w:t>
            </w:r>
          </w:p>
          <w:p w14:paraId="1EC48401">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(4) 安全组件：集成下一代防火墙（NGFW）、WAF、IPS等安全功能，支持威胁情报实时同步。  </w:t>
            </w:r>
          </w:p>
          <w:p w14:paraId="47D8A24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(5) 路由部署：支持BGP/OSPF动态路由协议，虚拟路由器转发性能≥100Gbps。  </w:t>
            </w:r>
          </w:p>
          <w:p w14:paraId="0686480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 微隔离：基于机器学习自动生成微隔离策略，策略准确率≥95%，支持东西向流量可视化分析。</w:t>
            </w:r>
          </w:p>
          <w:p w14:paraId="0DEEA528">
            <w:pPr>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6、服务保障</w:t>
            </w:r>
          </w:p>
          <w:p w14:paraId="2C08ED0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 提供7×24小时原厂技术支持，硬件故障响应时间≤2小时，软件问题远程解决率≥90%。  </w:t>
            </w:r>
          </w:p>
          <w:p w14:paraId="660DBEE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(2) 免费升级服务≥3年，覆盖操作系统内核、虚拟化组件、管理平台等全栈软件。 </w:t>
            </w:r>
          </w:p>
        </w:tc>
      </w:tr>
      <w:tr w14:paraId="00F9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5F32010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970" w:type="dxa"/>
            <w:vAlign w:val="center"/>
          </w:tcPr>
          <w:p w14:paraId="1C5D76FB">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交换机</w:t>
            </w:r>
          </w:p>
        </w:tc>
        <w:tc>
          <w:tcPr>
            <w:tcW w:w="554" w:type="dxa"/>
            <w:vAlign w:val="center"/>
          </w:tcPr>
          <w:p w14:paraId="48AA391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554" w:type="dxa"/>
            <w:vAlign w:val="center"/>
          </w:tcPr>
          <w:p w14:paraId="455C691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663" w:type="dxa"/>
            <w:vAlign w:val="center"/>
          </w:tcPr>
          <w:p w14:paraId="3F18C888">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1、数量及端口要求：配备 1 台千兆交换机，需具备≥24 个千兆电口 + 4 个万兆光口。</w:t>
            </w:r>
          </w:p>
          <w:p w14:paraId="6B6DD3B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2、性能规格：交换容量≥672Gbps，包转发率≥171Mpps。</w:t>
            </w:r>
          </w:p>
          <w:p w14:paraId="6F8075E8">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3、功能要求</w:t>
            </w:r>
          </w:p>
          <w:p w14:paraId="42A11F1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 支持 MAC 地址表项≥16K，支持 MAC 地址自动学习、源 MAC 过滤、接口 MAC 学习数限制及静态路由。</w:t>
            </w:r>
          </w:p>
          <w:p w14:paraId="6FADBF1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 支持防网关 ARP 欺骗、端口保护与隔离、防止 ARP 泛洪攻击。</w:t>
            </w:r>
          </w:p>
          <w:p w14:paraId="63CE32C1">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 支持 M-LAG 技术（跨设备链路聚合），配对设备具备独立控制平面，实现高可用链路冗余。</w:t>
            </w:r>
          </w:p>
          <w:p w14:paraId="3A96390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 支持 IEEE 802.3az EEE 节能技术，降低端口空闲时的功耗。</w:t>
            </w:r>
          </w:p>
          <w:p w14:paraId="42AFA484">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 支持多方式发现网管平台：二层广播自动发现、静态 IP 三层发现、DHCP Option43、DNS 域名发现。</w:t>
            </w:r>
          </w:p>
          <w:p w14:paraId="3394C5B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 支持基于终端类型自动识别，禁止非法终端（如私接路由器）接入。</w:t>
            </w:r>
          </w:p>
          <w:p w14:paraId="78651D0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 支持端口组划分；终端触发安全策略时可被加入黑名单；支持安全事件（终端异常、地址迁移等）记录与统计。</w:t>
            </w:r>
          </w:p>
          <w:p w14:paraId="6C30365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 具备工信部颁发的电信设备入网许可证书。</w:t>
            </w:r>
          </w:p>
          <w:p w14:paraId="34199A6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4、质保服务：提供≥3 年原厂质保服务。</w:t>
            </w:r>
          </w:p>
        </w:tc>
      </w:tr>
      <w:tr w14:paraId="6FC0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0EFC47A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970" w:type="dxa"/>
            <w:vAlign w:val="center"/>
          </w:tcPr>
          <w:p w14:paraId="7F55E3ED">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上网行为管理</w:t>
            </w:r>
          </w:p>
        </w:tc>
        <w:tc>
          <w:tcPr>
            <w:tcW w:w="554" w:type="dxa"/>
            <w:vAlign w:val="center"/>
          </w:tcPr>
          <w:p w14:paraId="1D15F60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554" w:type="dxa"/>
            <w:vAlign w:val="center"/>
          </w:tcPr>
          <w:p w14:paraId="6E8BE3D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663" w:type="dxa"/>
            <w:vAlign w:val="center"/>
          </w:tcPr>
          <w:p w14:paraId="41D71A4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1、性能要求  </w:t>
            </w:r>
          </w:p>
          <w:p w14:paraId="73C4F4C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网络层吞吐量≥3Gbps，应用层吞吐量≥300Mbps，最大带宽转发能力≥200Mbps；支持并发用户数≥1000，每秒新建连接数≥2400，最大并发连接数≥120,000。  </w:t>
            </w:r>
          </w:p>
          <w:p w14:paraId="7A285A5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2、硬件要求  </w:t>
            </w:r>
          </w:p>
          <w:p w14:paraId="42C3A01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规格：1U机架式设备；内存≥4GB；硬盘容量≥128GB（SSD）；网络接口≥6个千兆电口+2个千兆光口（含光模块）；电源：单电源（支持冗余扩展）。  </w:t>
            </w:r>
          </w:p>
          <w:p w14:paraId="27BCEC23">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3、部署方式  </w:t>
            </w:r>
          </w:p>
          <w:p w14:paraId="65CCF435">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支持网关模式，具备NAT、路由转发、DHCP、GRE隧道、OSPF动态路由等基础网络功能；支持多主模式部署（≥2台设备同时作为主节点，实现负载分担与故障切换）。  </w:t>
            </w:r>
          </w:p>
          <w:p w14:paraId="5E8BC63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4、可视化展示  </w:t>
            </w:r>
          </w:p>
          <w:p w14:paraId="5FD393D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支持首页集中展示核心数据：接入用户数、终端类型分布；实时流量TOP排行；资产类型占比、新设备发现趋势；终端违规检查项及违规用户排行，直观呈现网络状态。  </w:t>
            </w:r>
          </w:p>
          <w:p w14:paraId="6494C6D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5、流量额度管控  </w:t>
            </w:r>
          </w:p>
          <w:p w14:paraId="3AE0B49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支持基于“流量总量”“实时流速”“在线时长”设置用户配额，配额耗尽后可自动将用户纳入流控黑名单；当用户指定应用流速超过预设阈值时，支持自动提醒（弹窗或消息推送）。  </w:t>
            </w:r>
          </w:p>
          <w:p w14:paraId="3E9C3EE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6、URL过滤能力  </w:t>
            </w:r>
          </w:p>
          <w:p w14:paraId="37E2E21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内置预分类URL地址库，数量≥3000万条，包含分类≥150个；支持按URL类别（如视频、社交、购物等）实现精准过滤，且支持自定义URL规则补充。  </w:t>
            </w:r>
          </w:p>
          <w:p w14:paraId="66913D7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7、故障排查能力  </w:t>
            </w:r>
          </w:p>
          <w:p w14:paraId="0D093A19">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实时监测网络异常：包括PPS异常、丢包、ARP欺骗、内网DoS攻击等，统计每日异常事件数量及详情；支持用户认证故障分析（提供错误原因及排查建议）；可检测内部用户Web访问质量，输出整体网络质量评级（如优/良/差）。  </w:t>
            </w:r>
          </w:p>
          <w:p w14:paraId="7DF33339">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8、上网行为监控  </w:t>
            </w:r>
          </w:p>
          <w:p w14:paraId="76EB27A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支持按用户、IP、时间等条件过滤并实时展示上网行为，可手动设置刷新频率（如10秒/30秒/1分钟），便于动态监控。  </w:t>
            </w:r>
          </w:p>
          <w:p w14:paraId="08A55FB8">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9、认证方式  </w:t>
            </w:r>
          </w:p>
          <w:p w14:paraId="1E82CEB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支持多样化认证：本地账号密码、第三方服务器（LDAP/RADIUS等）、短信认证、微信认证、二维码认证，满足不同场景需求。  </w:t>
            </w:r>
          </w:p>
          <w:p w14:paraId="1AEB5BA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10、应用管控能力  </w:t>
            </w:r>
          </w:p>
          <w:p w14:paraId="269683D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内置应用识别规则库，支持识别应用数量≥6000种，规则条目≥9000条；支持按标签归类应用（如“办公类”“娱乐类”），并基于标签对一类应用统一管控（允许/禁止/限速）。  </w:t>
            </w:r>
          </w:p>
          <w:p w14:paraId="7ECF1F4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11、第三方认证集成  </w:t>
            </w:r>
          </w:p>
          <w:p w14:paraId="51CA4AB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支持对接LDAP、Radius、POP3、Proxy等第三方认证服务器；兼容主流数据库（如MySQL、SQL Server、Oracle等）实现第三方认证集成。  </w:t>
            </w:r>
          </w:p>
          <w:p w14:paraId="4841907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12、加密网页管理  </w:t>
            </w:r>
          </w:p>
          <w:p w14:paraId="15F88FE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支持客户端SSL解密（自动推送根证书安装）；可识别并过滤SSL加密的钓鱼网站、非法网站，对违规HTTPS访问支持重定向至告警页面。  </w:t>
            </w:r>
          </w:p>
          <w:p w14:paraId="31CC70E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13、审计功能  </w:t>
            </w:r>
          </w:p>
          <w:p w14:paraId="4F50EC2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支持对WEB/FTP/SMB等业务的行为及内容审计：可选择仅审计上传/下载文件名或同时审计内容；支持服务器外联行为及流量审计；记录指定类别URL访问信息（含网页标题、内容），并支持网页快照留存。  </w:t>
            </w:r>
          </w:p>
          <w:p w14:paraId="3F72583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14、动态流量调整  </w:t>
            </w:r>
          </w:p>
          <w:p w14:paraId="26F8788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支持基于线路或流量通道的空闲状态自动启停流控策略（空闲阈值可自定义），提升带宽利用率。  </w:t>
            </w:r>
          </w:p>
          <w:p w14:paraId="67BFEB0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15、系统日志审计  </w:t>
            </w:r>
          </w:p>
          <w:p w14:paraId="1CC9A8E8">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支持审计管理员操作日志、系统运行日志（含故障、配置变更等），日志可导出备份。  </w:t>
            </w:r>
          </w:p>
          <w:p w14:paraId="20DE437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16、安全基线核查  </w:t>
            </w:r>
          </w:p>
          <w:p w14:paraId="595AA8A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支持Windows终端安全检查，包括：杀软状态、域登录情况、操作系统版本、进程/文件/注册表合规性、补丁安装、账号安全、防篡改状态、软件合规性等；对不达标终端可执行弹窗提示、限制上网或引导修复。  </w:t>
            </w:r>
          </w:p>
          <w:p w14:paraId="47B749A3">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17、认证分权管理  </w:t>
            </w:r>
          </w:p>
          <w:p w14:paraId="4A29382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支持认证页面分权分域管理：普通管理员仅可见授权范围内的页面，系统管理员可灵活分配页面管理权限。  </w:t>
            </w:r>
          </w:p>
        </w:tc>
      </w:tr>
      <w:tr w14:paraId="6D0E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58181AF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970" w:type="dxa"/>
            <w:vAlign w:val="center"/>
          </w:tcPr>
          <w:p w14:paraId="2FCF5591">
            <w:pPr>
              <w:adjustRightInd w:val="0"/>
              <w:snapToGrid w:val="0"/>
              <w:jc w:val="left"/>
              <w:rPr>
                <w:rFonts w:hint="eastAsia" w:ascii="宋体" w:hAnsi="宋体" w:eastAsia="宋体" w:cs="宋体"/>
                <w:sz w:val="24"/>
                <w:szCs w:val="24"/>
              </w:rPr>
            </w:pPr>
            <w:r>
              <w:rPr>
                <w:rFonts w:hint="eastAsia" w:ascii="宋体" w:hAnsi="宋体" w:eastAsia="宋体" w:cs="宋体"/>
                <w:sz w:val="24"/>
                <w:szCs w:val="24"/>
              </w:rPr>
              <w:t>等保一体机</w:t>
            </w:r>
          </w:p>
        </w:tc>
        <w:tc>
          <w:tcPr>
            <w:tcW w:w="554" w:type="dxa"/>
            <w:vAlign w:val="center"/>
          </w:tcPr>
          <w:p w14:paraId="40125B5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554" w:type="dxa"/>
            <w:vAlign w:val="center"/>
          </w:tcPr>
          <w:p w14:paraId="1B47E7C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663" w:type="dxa"/>
            <w:vAlign w:val="center"/>
          </w:tcPr>
          <w:p w14:paraId="029A37EC">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1、设备规格：2U 设备，配置 2 颗 CPU，CPU 核数≥16，主频≥2.4GHz，内存≥128GB，磁盘配置≥2 块 240G SSD 硬盘 + 2 块 960G SSD 硬盘 + 5 块 4T SATA 硬盘，网络接口≥4 个千兆电口 + 2 个万兆光口。</w:t>
            </w:r>
          </w:p>
          <w:p w14:paraId="603CCD8F">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2、部署方式：支持与云平台松耦合，适配多厂商云平台，不采用云平台内虚拟机安装及网络设备硬件一虚多方式，支持在国产化操作系统上运行。</w:t>
            </w:r>
          </w:p>
          <w:p w14:paraId="57C7A15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3、基本功能：提供虚拟资产脆弱性扫描、虚拟日志分析管理、虚拟堡垒机、终端安全管理系统等独立安全组件，支持集成第三方生态产品扩充安全能力。</w:t>
            </w:r>
          </w:p>
          <w:p w14:paraId="0A3ED365">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4、服务方式：首页支持监测安全资源池集群状态（总计算、内存、存储资源）和安全风险状态，安全风险可展示租户及业务风险分布。</w:t>
            </w:r>
          </w:p>
          <w:p w14:paraId="033D25D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5、系统管理：支持安全资源服务链配置，可灵活选择源、安全服务节点和目的，自定义安全路径，调整安全服务节点先后顺序，配置完成后可在安全架构页面以图形化呈现。</w:t>
            </w:r>
          </w:p>
          <w:p w14:paraId="487A027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6、资产脆弱性扫描组件</w:t>
            </w:r>
          </w:p>
          <w:p w14:paraId="112DC1E8">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 提供系统漏扫授权 IP 数≥50，WEB 漏扫授权 URL 数≥10，系统漏扫最大并发 IP 数≥150，WEB 漏扫最大并发 URL 数≥5。</w:t>
            </w:r>
          </w:p>
          <w:p w14:paraId="1B5AED36">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 支持全局风险统计功能，通过扇形图、条状图、标签、表格等形式展示资产风险分布、漏洞风险等级分布、紧急漏洞、风险资产清单等信息，可查看详情及进行漏洞验证。</w:t>
            </w:r>
          </w:p>
          <w:p w14:paraId="696E869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 支持全面扫描、资产发现、系统漏洞扫描、弱口令扫描、WEB 漏洞扫描、基线配置核查六种任务类型，其中全面扫描支持系统漏洞扫描、WEB 漏洞扫描、弱口令扫描同时执行。</w:t>
            </w:r>
          </w:p>
          <w:p w14:paraId="47EA6B04">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7、日志分析管理组件</w:t>
            </w:r>
          </w:p>
          <w:p w14:paraId="6CA852AD">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 提供资产授权数量≥50。</w:t>
            </w:r>
          </w:p>
          <w:p w14:paraId="0375397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 支持通过正则、分隔符、json、xml 的可视方式进行自定义规则解析，支持对解析结果字段的新增、合并、映射，满足内置解析规则未覆盖的日志类型解析需求。</w:t>
            </w:r>
          </w:p>
          <w:p w14:paraId="016E6707">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 支持 POC 测试工具一键生成数据，验证日志数据采集是否成功。</w:t>
            </w:r>
          </w:p>
          <w:p w14:paraId="78BA3DE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 支持敏感数据模糊化，对审计结果中的敏感数据进行脱敏处理。</w:t>
            </w:r>
          </w:p>
          <w:p w14:paraId="21197B35">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8、堡垒机组件</w:t>
            </w:r>
          </w:p>
          <w:p w14:paraId="6112211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 提供资产授权数量≥50。</w:t>
            </w:r>
          </w:p>
          <w:p w14:paraId="59D7D2E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 支持通过动作流配置提供广泛的应用接入支持，实现单点登陆和审计接入。</w:t>
            </w:r>
          </w:p>
          <w:p w14:paraId="46C757D5">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 支持在授权基础上自定义访问审批流程，可设置一级或多级审批人，每级审批可指定通过投票数，需逐级审批通过才可发起运维操作。</w:t>
            </w:r>
          </w:p>
          <w:p w14:paraId="5AB041F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 支持 web 页面直接发起运维，无需安装控件，同时支持调用 SecureCRT、Xshell、Putty、WinSCP、FileZilla、RDP 等客户端工具实现单点登陆。</w:t>
            </w:r>
          </w:p>
          <w:p w14:paraId="192D0F8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9、终端安全管理系统组件</w:t>
            </w:r>
          </w:p>
          <w:p w14:paraId="0F0BBE5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 提供 PC 版终端安全软件授权数量≥50。</w:t>
            </w:r>
          </w:p>
          <w:p w14:paraId="57DCE55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 支持全网视角的终端资产统一清点，包括操作系统、应用软件、监听端口和终端账户，其中操作系统和监听端口支持从资产和终端两个视角进行统计和展示。</w:t>
            </w:r>
          </w:p>
          <w:p w14:paraId="72A2B8E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 支持勒索可疑行为检测，通过行为 AI 能力对勒索信、命令行、修改文件等多种高危高频场景进行精准告警和自动拦截。</w:t>
            </w:r>
          </w:p>
          <w:p w14:paraId="39DD7BE6">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 具备自研的基于人工智能的检测引擎，支持无特征检测技术，应对恶意代码及其变种。</w:t>
            </w:r>
          </w:p>
          <w:p w14:paraId="1C63466D">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10、维保服务：提供≥3 年软件升级和维保服务。</w:t>
            </w:r>
          </w:p>
        </w:tc>
      </w:tr>
      <w:tr w14:paraId="3D86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5F65CC3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970" w:type="dxa"/>
            <w:vAlign w:val="center"/>
          </w:tcPr>
          <w:p w14:paraId="5F58CF12">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灾备产品</w:t>
            </w:r>
          </w:p>
        </w:tc>
        <w:tc>
          <w:tcPr>
            <w:tcW w:w="554" w:type="dxa"/>
            <w:vAlign w:val="center"/>
          </w:tcPr>
          <w:p w14:paraId="6D0CC4F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554" w:type="dxa"/>
            <w:vAlign w:val="center"/>
          </w:tcPr>
          <w:p w14:paraId="1DEE543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5663" w:type="dxa"/>
            <w:vAlign w:val="center"/>
          </w:tcPr>
          <w:p w14:paraId="0006E54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1、硬件配置：标准 2U 机架设备，配置 1 颗 CPU，CPU 核数≥12，主频≥2.1GHz，内存≥64GB，磁盘配置≥2 块 240G SSD 硬盘 + 2 块 480G SSD 硬盘 + 6 块 4T HDD 硬盘，网络端口≥2 个千兆网口 + 2 个万兆光口，冗余电源。</w:t>
            </w:r>
          </w:p>
          <w:p w14:paraId="1C74768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2、授权模式：配置备份与恢复软件容量授权≥18TB。</w:t>
            </w:r>
          </w:p>
          <w:p w14:paraId="65D7041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3、整机备份：提供基于磁盘数据块复制技术的整机备份，无需了解主机业务系统类型、部署方法、业务系统间的数据交互机制、数据结构 / 逻辑关系和数据库的品牌 / 版本。</w:t>
            </w:r>
          </w:p>
          <w:p w14:paraId="4976AE6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4、定时备份：支持任意的小时 / 天 / 月 / 年 / 仅备份一次等策略执行定时备份，操作简单，策略灵活。</w:t>
            </w:r>
          </w:p>
          <w:p w14:paraId="70F266A5">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5、永久增量参数：支持完整备份和增量备份，第一次备份时使用完整备份保留整机应用的完整状态，后续采用增量备份，大幅减少备份的数据量。</w:t>
            </w:r>
          </w:p>
          <w:p w14:paraId="2F9C58D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虚拟化验证：可自建隔离私有虚拟化验证环境，（结合客户的实际应用系统和数据库名称、数据量和部署方式，修改为特定的参数）无论备份任务是否停止，可同时选一个备份任务的多个备份点执行虚拟化验证备份数据的一致性和可靠性，在灾难发生时采用二分法快速定位出最佳数据恢复的备份历史点。</w:t>
            </w:r>
          </w:p>
          <w:p w14:paraId="103B167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7、断点传续：支持断点续传，当备份链路中断修复或者备份任务重启后，可智能判断已经备份的数据，继续备份未备份的新增数据。</w:t>
            </w:r>
          </w:p>
          <w:p w14:paraId="3BC77D93">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8、应急演练：演练时，演练目标机无需预置任何演练环境（目标机无操作系统、目标机和原机操作系统不一致、目标机无应用系统、目标机无数据库等）可即时开展对指定业务模拟故障后的演练重建功能。</w:t>
            </w:r>
          </w:p>
          <w:p w14:paraId="7BE9C04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9、备份速度：支持基于数据块复制的备份能力，无需对数据类型、逻辑以及关联性解析，面对非结构化数据、海量小文件时，仍可实现千兆网络环境下平均备份速度 140MB/s。</w:t>
            </w:r>
          </w:p>
          <w:p w14:paraId="33EE1561">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10、端口策略：备份系统网络可配置 “网卡关闭 / 开启策略”，还可将除备份数据传输端口外的 SSH、网络访问等网络端口全部关闭，杜绝除传输备份数据流之外一切网络访问的可能，降低备份系统被攻击的概率。</w:t>
            </w:r>
          </w:p>
          <w:p w14:paraId="70455F63">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11、文件验证：可将选定的备份点加载为 CIFS 文件共享和网络共享路径可直接在 WEB 浏览器中直接 URL 访问，管理员可快速确认需被验证的备份点文件是否是符合预期，备份点是否可用、可靠。</w:t>
            </w:r>
          </w:p>
          <w:p w14:paraId="54DE162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12、文件恢复：用户日常运维过程中丢失单个文件 / 文件夹，备份系统支持将任意时间的备份点加载为网络共享路径或在 WEB 浏览器中直接 URL 访问的方式，管理员可轻松找到该文件并复制出来。</w:t>
            </w:r>
          </w:p>
        </w:tc>
      </w:tr>
      <w:tr w14:paraId="2D15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78C7FEA3">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2</w:t>
            </w:r>
          </w:p>
        </w:tc>
        <w:tc>
          <w:tcPr>
            <w:tcW w:w="970" w:type="dxa"/>
            <w:vAlign w:val="center"/>
          </w:tcPr>
          <w:p w14:paraId="2B80B49E">
            <w:pPr>
              <w:widowControl/>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医院HRP一体化平台软件</w:t>
            </w:r>
          </w:p>
        </w:tc>
        <w:tc>
          <w:tcPr>
            <w:tcW w:w="554" w:type="dxa"/>
            <w:vAlign w:val="center"/>
          </w:tcPr>
          <w:p w14:paraId="039DDF8D">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套</w:t>
            </w:r>
          </w:p>
        </w:tc>
        <w:tc>
          <w:tcPr>
            <w:tcW w:w="554" w:type="dxa"/>
            <w:vAlign w:val="center"/>
          </w:tcPr>
          <w:p w14:paraId="5A95E901">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w:t>
            </w:r>
          </w:p>
        </w:tc>
        <w:tc>
          <w:tcPr>
            <w:tcW w:w="5663" w:type="dxa"/>
            <w:vAlign w:val="center"/>
          </w:tcPr>
          <w:p w14:paraId="06D36881">
            <w:pPr>
              <w:spacing w:before="40"/>
              <w:ind w:right="34"/>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一、会计核算</w:t>
            </w:r>
          </w:p>
          <w:p w14:paraId="235FDDC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1、会计核算</w:t>
            </w:r>
          </w:p>
          <w:p w14:paraId="2FCBE7D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(1)填制凭证</w:t>
            </w:r>
          </w:p>
          <w:p w14:paraId="3C8B21E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填写会计凭证。记账凭证是本系统处理的起点，也是所有查询数据的最主要的一个来源。日常业务处理首先从填制凭证开始。</w:t>
            </w:r>
          </w:p>
          <w:p w14:paraId="40A0E7E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(2)出纳签字</w:t>
            </w:r>
          </w:p>
          <w:p w14:paraId="77EE215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出纳人员可通过出纳签字功能对制单员填制的带有现金银行科目的凭证进行检查核对，主要核对出纳凭证的出纳科目的金额是否正确，审查认为错误或有异议的凭证，应交与填制人员修改后再核对。</w:t>
            </w:r>
          </w:p>
          <w:p w14:paraId="0583352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(3)主管签字</w:t>
            </w:r>
          </w:p>
          <w:p w14:paraId="159A9B3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为加强对会计人员制单的管理，常采用经主管会计签字后的凭证才有效的管理模式。因此本系统提供"主管签字"的核算方式，即其他会计人员制作的凭证必须经主管签字才能记账。</w:t>
            </w:r>
          </w:p>
          <w:p w14:paraId="67407CF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(4)审核凭证</w:t>
            </w:r>
          </w:p>
          <w:p w14:paraId="30070B9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审核凭证是审核员按照财会制度，对制单员填制的记账凭证进行检查核对，主要审核记账凭证是否与原始凭证相符，会计分录是否正确等、审查认为错误或有异议的凭证，应打上出错标记，同时可写入出错原因并交与填制人员修改后，再审核。</w:t>
            </w:r>
          </w:p>
          <w:p w14:paraId="19545D0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(5)查询凭证</w:t>
            </w:r>
          </w:p>
          <w:p w14:paraId="548084D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本功能用于查询已记账及未记账凭证。</w:t>
            </w:r>
          </w:p>
          <w:p w14:paraId="6176178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(6)打印凭证</w:t>
            </w:r>
          </w:p>
          <w:p w14:paraId="0A70AE6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本功能用于打印已记账及未记账凭证。</w:t>
            </w:r>
          </w:p>
          <w:p w14:paraId="1FE010B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(7)科目汇总</w:t>
            </w:r>
          </w:p>
          <w:p w14:paraId="71ED3DA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可根据输入的汇总条件，有条件地对记账凭证进行汇总并生成一张科目汇总表。</w:t>
            </w:r>
          </w:p>
          <w:p w14:paraId="35620F79">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(8)记账</w:t>
            </w:r>
          </w:p>
          <w:p w14:paraId="0DF8619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记账凭证经审核签字后，即可用来登记总账和明细账、日记账、部门账、往来账、项目账以及备查账等。本系统记账采用向导方式，使记账过程更加明确。</w:t>
            </w:r>
          </w:p>
          <w:p w14:paraId="0CC5708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(9)常用凭证</w:t>
            </w:r>
          </w:p>
          <w:p w14:paraId="0D7B5A4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日常填制凭证的过程中，经常会有许多凭证完全相同或部分相同，如果将这些常用的凭证存储起来，在填制会计凭证时可随时调用，必将大大提高业务处理的效率。</w:t>
            </w:r>
          </w:p>
          <w:p w14:paraId="5043A1E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(10)现金/银行日记账</w:t>
            </w:r>
          </w:p>
          <w:p w14:paraId="4DA6C64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用于查询现金/银行日记账。</w:t>
            </w:r>
          </w:p>
          <w:p w14:paraId="12125855">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(11)支票登记簿</w:t>
            </w:r>
          </w:p>
          <w:p w14:paraId="64D37EF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登记支票领用人、领用日期、支票用途、是否报销等情况</w:t>
            </w:r>
          </w:p>
          <w:p w14:paraId="20BB55A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(12)银行对账单</w:t>
            </w:r>
          </w:p>
          <w:p w14:paraId="4DD2964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用于平时录入、查询和引入银行对账单。</w:t>
            </w:r>
          </w:p>
          <w:p w14:paraId="22DCFA9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(13)现金流量明细表</w:t>
            </w:r>
          </w:p>
          <w:p w14:paraId="12872F6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提供针对现金流量项目明细表的查询功能。</w:t>
            </w:r>
          </w:p>
          <w:p w14:paraId="673352F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(14)账表</w:t>
            </w:r>
          </w:p>
          <w:p w14:paraId="3703D7C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包括个人往来明细表、辅助明细表、科目账、客户往来辅助账、供应商往来辅助账、个人往来账、部门辅助账、项目辅助账等各种财务常用账表。并提供打印、导出等功能。</w:t>
            </w:r>
          </w:p>
          <w:p w14:paraId="2979D0A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(15)期末</w:t>
            </w:r>
          </w:p>
          <w:p w14:paraId="41464499">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提供期末的转账、对账、结账功能。</w:t>
            </w:r>
          </w:p>
          <w:p w14:paraId="3FC288A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(16)应收/应付管理</w:t>
            </w:r>
          </w:p>
          <w:p w14:paraId="2502790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提供应收、应付款的单据、款项管理。</w:t>
            </w:r>
          </w:p>
          <w:p w14:paraId="6AE96751">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(17)票据管理</w:t>
            </w:r>
          </w:p>
          <w:p w14:paraId="172D789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提供医院各种票据的管理，比如：发票、支票等票据。</w:t>
            </w:r>
          </w:p>
          <w:p w14:paraId="152AAA4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2、报表管理</w:t>
            </w:r>
          </w:p>
          <w:p w14:paraId="20D41B0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(1)文件管理功能</w:t>
            </w:r>
          </w:p>
          <w:p w14:paraId="041D80D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(2)格式管理功能</w:t>
            </w:r>
          </w:p>
          <w:p w14:paraId="7AE53CE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(3)数据处理功能</w:t>
            </w:r>
          </w:p>
          <w:p w14:paraId="475F5B7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(4)图形功能</w:t>
            </w:r>
          </w:p>
          <w:p w14:paraId="3044B86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(5)丰富的打印功能</w:t>
            </w:r>
          </w:p>
          <w:p w14:paraId="5762140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▲(6)强大的二次开发功能</w:t>
            </w:r>
          </w:p>
          <w:p w14:paraId="68A7A35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(7)支持多窗口操作、操作更加灵活、易学易用</w:t>
            </w:r>
          </w:p>
          <w:p w14:paraId="0231328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(8)强大的数据处理功能</w:t>
            </w:r>
          </w:p>
          <w:p w14:paraId="346CC95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(9)提供数据接口</w:t>
            </w:r>
          </w:p>
          <w:p w14:paraId="4C7546C8">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(10)便捷的应用程序间信息交流功能</w:t>
            </w:r>
          </w:p>
          <w:p w14:paraId="4A29434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(11)提供应用查询服务</w:t>
            </w:r>
          </w:p>
          <w:p w14:paraId="2C06750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(12)图文混排</w:t>
            </w:r>
          </w:p>
          <w:p w14:paraId="0EC4418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(13)注册管理</w:t>
            </w:r>
          </w:p>
          <w:p w14:paraId="1A134D9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▲(14)提供行业报表模板</w:t>
            </w:r>
          </w:p>
          <w:p w14:paraId="5D039A1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3、出纳管理</w:t>
            </w:r>
          </w:p>
          <w:p w14:paraId="6E3C4A6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(1)提供医院日常出纳业务的全部处理功能；</w:t>
            </w:r>
          </w:p>
          <w:p w14:paraId="1A0086D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(2)提供银行对账功能：提供银行日记账与银行对账单对账的功能。</w:t>
            </w:r>
          </w:p>
          <w:p w14:paraId="21421CD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(3)银行存款对账提供自动对账和手工对账两种方式，两种方式可单独使用，也可结合起来使用，提供自动化和可操作化功能；</w:t>
            </w:r>
          </w:p>
          <w:p w14:paraId="0059D83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(4)能按用户输入的单一或多种组合条件输出满足条件的各种资金日报表、资金头存表等；</w:t>
            </w:r>
          </w:p>
          <w:p w14:paraId="11C8D44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(5)系统能够依据票据和现金收付流水账自动产生总账凭证。</w:t>
            </w:r>
          </w:p>
          <w:p w14:paraId="608586C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▲(6)系统能购自动从总账系统引入生成现金日记账、银行日记账，也可以通过手工录入现金、银行日记账。</w:t>
            </w:r>
          </w:p>
          <w:p w14:paraId="7D8FA13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▲(7)凭证自动关联支票打印功能，自动读取供应商、金额等信息到支票打印，并自动在系统中签核。</w:t>
            </w:r>
          </w:p>
          <w:p w14:paraId="2DAEAEF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4、应付管理</w:t>
            </w:r>
          </w:p>
          <w:p w14:paraId="217BC02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(1)能够及时准确的提供往来帐款余额资料、各种分析报表，并有相关的预警和控制功能；</w:t>
            </w:r>
          </w:p>
          <w:p w14:paraId="23868FE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(2)银行对帐功能；</w:t>
            </w:r>
          </w:p>
          <w:p w14:paraId="7C4A4EB3">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(3)可在系统中设置各种单据的凭证模板，根据定义模板生成记账凭证，生成的记账凭证将自动传递到总账模块；</w:t>
            </w:r>
          </w:p>
          <w:p w14:paraId="49BA306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(4)支持制定付款计划，进行付款预警；</w:t>
            </w:r>
          </w:p>
          <w:p w14:paraId="06E081C5">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(5)支持付款核销，勾对采购发票、入库单，自动生成记账凭证；</w:t>
            </w:r>
          </w:p>
          <w:p w14:paraId="6DDF109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(6)可以记录应付账款台账，对每一笔应付账款和付款情况进行管理。</w:t>
            </w:r>
          </w:p>
          <w:p w14:paraId="0463C89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5、应收管理</w:t>
            </w:r>
          </w:p>
          <w:p w14:paraId="031242E3">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(1)收费管理</w:t>
            </w:r>
          </w:p>
          <w:p w14:paraId="6E9CBAA1">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能够核对每一张票据，随时查对收费员结算情况，分析收费质量，统计收费工作量和收费报表。</w:t>
            </w:r>
          </w:p>
          <w:p w14:paraId="0DB0AD3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(2)收款管理</w:t>
            </w:r>
          </w:p>
          <w:p w14:paraId="4DF2427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用于清点与核对收费员票据和费用，实现“一号工程”与会计核算管理系统无缝连接，保证“日清月结”制度的落实。</w:t>
            </w:r>
          </w:p>
          <w:p w14:paraId="61EDACF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(3)欠费管理</w:t>
            </w:r>
          </w:p>
          <w:p w14:paraId="7342C1E1">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具有出院挂账、欠费登记、回收全过程管理，欠费情况一目了然。</w:t>
            </w:r>
          </w:p>
          <w:p w14:paraId="1A9542CD">
            <w:pPr>
              <w:spacing w:before="40"/>
              <w:ind w:right="34"/>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二、预算管理</w:t>
            </w:r>
          </w:p>
          <w:p w14:paraId="0AE32169">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▲(1)期初录入</w:t>
            </w:r>
          </w:p>
          <w:p w14:paraId="46856859">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预算是一个多年度连续的过程，对于上年没有用完的预算数，按照规定返还或调整后，结余金额应该结转至下年度。</w:t>
            </w:r>
          </w:p>
          <w:p w14:paraId="070108C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系统期初录入功能提供两种业务操作，一是将上年预算余额通过编制“预算编制期初录入单”，纳入到本年累计预算数当中。二是对刚刚启用预算模块的用户，可以将系统启用前的预算数据进行录入。</w:t>
            </w:r>
          </w:p>
          <w:p w14:paraId="4DBBA4F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(2)年度预算编制</w:t>
            </w:r>
          </w:p>
          <w:p w14:paraId="32B3B72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每年年底至次年年末，是预算编制时期，用户可以利用系统对预算进行编制，也可以将已经核定的预算数据，直接录入或导入预算系统。系统支持EXCEL外部数据导入和手工输入数据。</w:t>
            </w:r>
          </w:p>
          <w:p w14:paraId="3386017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(3)年度预算下发</w:t>
            </w:r>
          </w:p>
          <w:p w14:paraId="36F3628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预算数据进入系统后，尚处于“未激活”的状态，待预算专员核对无误后，经相关领导审批，本年预算额度即被“激活”，用户即可按照年初的预算记录、控制、对比医院今年的预算情况。</w:t>
            </w:r>
          </w:p>
          <w:p w14:paraId="32180AF8">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(4)月计划生成</w:t>
            </w:r>
          </w:p>
          <w:p w14:paraId="5F69A6D5">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为了便于医院的预算管理，做到精细化，系统支持将医院的年预算细化到各月，“月计划生成”是按照已审核的“年预算编制”的信息，直接将年度预算编制单生成月度预算编制单。计算规则是当月预算=今年可用预算/剩余月份</w:t>
            </w:r>
          </w:p>
          <w:p w14:paraId="733211F1">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(5)月度预算下发</w:t>
            </w:r>
          </w:p>
          <w:p w14:paraId="62E73F3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功能与“年预算编制下发”类似，待月预算审核即可生效。</w:t>
            </w:r>
          </w:p>
          <w:p w14:paraId="5C70F3C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“月度预算编制下发”是将月度预算编制单中未审核的单据，以列表的形式统计起来，可以对月度预算编制单中的数据进行批量修改。</w:t>
            </w:r>
          </w:p>
          <w:p w14:paraId="7444E81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(6)预算调整</w:t>
            </w:r>
          </w:p>
          <w:p w14:paraId="1289A40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系统支持预算调整，对于年初编制的预算不够科学或者是临时支出等，需要调整预算的业务，即可通过该功能来实现。一般来说，医院每半年会做一次统一的预算调整，系统支持任何时间的预算调整单的编制和审核。</w:t>
            </w:r>
          </w:p>
          <w:p w14:paraId="4566BEB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(7)预算分析</w:t>
            </w:r>
          </w:p>
          <w:p w14:paraId="4F3BEB0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主要是预算执行进度分析、多维预算分析。需要支持多层次，多链接的分析模型。</w:t>
            </w:r>
          </w:p>
          <w:p w14:paraId="5BECDF66">
            <w:pPr>
              <w:spacing w:before="40"/>
              <w:ind w:right="34"/>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三、成本核算</w:t>
            </w:r>
          </w:p>
          <w:p w14:paraId="43FFF4E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(1)科室成本核算</w:t>
            </w:r>
          </w:p>
          <w:p w14:paraId="4D631251">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将医院业务活动中所发生的各种耗费以科室为核算对象进行归集和分配，计算出科室成本的过程。</w:t>
            </w:r>
          </w:p>
          <w:p w14:paraId="6CC28371">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(2)医疗业务成本</w:t>
            </w:r>
          </w:p>
          <w:p w14:paraId="7D3973F8">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本科目核算医院开展医疗服务及其辅助活动发生的各项费用，包括人员经费、耗用的药品及卫生材料费、固定资产折旧费、无形资产摊销费、提取医疗风险基金和其他费用。</w:t>
            </w:r>
          </w:p>
          <w:p w14:paraId="2022DCE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(3)成本分析</w:t>
            </w:r>
          </w:p>
          <w:p w14:paraId="7481E588">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医院应根据成本核算结果，对照目标成本或标准成本，采取趋势分析、结构分析、量本利分析等方法及时分析实际成本变动情况及原因，把握成本变动规律，提高成本效率。</w:t>
            </w:r>
          </w:p>
          <w:p w14:paraId="364F7B28">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(4)成本控制</w:t>
            </w:r>
          </w:p>
          <w:p w14:paraId="223484F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医院应在保证医疗服务质量的前提下，利用各种管理方法和措施，按照预定的成本定额、成本计划和成本费用开支标准，对成本形成过程中的耗费进行控制。</w:t>
            </w:r>
          </w:p>
          <w:p w14:paraId="53DE1D5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(5)成本制度</w:t>
            </w:r>
          </w:p>
          <w:p w14:paraId="1FD7D90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医院应建立健全成本定额管理制度、费用审核制度等，采取有效措施纠正、限制不必要的成本费用支出差异，控制成本费用支出。</w:t>
            </w:r>
          </w:p>
          <w:p w14:paraId="13F3E262">
            <w:pPr>
              <w:spacing w:before="40"/>
              <w:ind w:right="34"/>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四、报销管理</w:t>
            </w:r>
          </w:p>
          <w:p w14:paraId="52C2A3B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(1)基础数据配置</w:t>
            </w:r>
          </w:p>
          <w:p w14:paraId="100F1B9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包括付款方式、付款类型、单据类型、交通工具、出差类型、补贴内容、出差国家和预算控制配置，确保报销流程的标准化和规范化。</w:t>
            </w:r>
          </w:p>
          <w:p w14:paraId="2EA32D1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▲(2)数据同步配置</w:t>
            </w:r>
          </w:p>
          <w:p w14:paraId="45061AD5">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可实现第三方系统的成本中心等基础数据同步配置，确保数据的一致性和准确性。</w:t>
            </w:r>
          </w:p>
          <w:p w14:paraId="164035C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表单设计与系统测试：涵盖出差申请、差旅费报销、备用金审批及其他报销的表单设计，以及系统调整和系统测试，确保流程的顺畅和高效。</w:t>
            </w:r>
          </w:p>
          <w:p w14:paraId="385C9379">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(3)权限设置</w:t>
            </w:r>
          </w:p>
          <w:p w14:paraId="529263E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包括模块管理员和会计权限等，确保数据安全和操作规范。</w:t>
            </w:r>
          </w:p>
          <w:p w14:paraId="55101BD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(4)快速查询功能</w:t>
            </w:r>
          </w:p>
          <w:p w14:paraId="56B46B9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提供筛选条件、查询结果列表和导出Excel表格功能，方便财务人员进行数据查询和分析。</w:t>
            </w:r>
          </w:p>
          <w:p w14:paraId="5CD44560">
            <w:pPr>
              <w:spacing w:before="40"/>
              <w:ind w:right="34"/>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五、内部控制与风险管理</w:t>
            </w:r>
          </w:p>
          <w:p w14:paraId="6FA798B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(1)支持预算编制、调整、执行和监控。</w:t>
            </w:r>
          </w:p>
          <w:p w14:paraId="0B9B4D6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(2)提供预算与实际支出的对比分析。</w:t>
            </w:r>
          </w:p>
          <w:p w14:paraId="5FF5FC14">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(3)支持费用报销流程自动化，包括审批、支付和账务处理。</w:t>
            </w:r>
          </w:p>
          <w:p w14:paraId="7AD46EE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(4)提供费用合规性检查（如超标预警）。</w:t>
            </w:r>
          </w:p>
          <w:p w14:paraId="42B01D8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(5)支持资金计划、调拨、支付和监控。</w:t>
            </w:r>
          </w:p>
          <w:p w14:paraId="796A0DD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(6)提供资金流动性分析和风险预警。</w:t>
            </w:r>
          </w:p>
          <w:p w14:paraId="78C1F75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▲(7)自动生成财务报表，支持多维度分析。</w:t>
            </w:r>
          </w:p>
          <w:p w14:paraId="6F844E9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(8)支持应收账款账龄分析、催收管理和坏账预警。</w:t>
            </w:r>
          </w:p>
          <w:p w14:paraId="0E5D0787">
            <w:pPr>
              <w:spacing w:before="40"/>
              <w:ind w:right="34"/>
              <w:jc w:val="left"/>
              <w:rPr>
                <w:rFonts w:hint="eastAsia"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六、BI大数据</w:t>
            </w:r>
          </w:p>
          <w:p w14:paraId="296621B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(1)支持多源数据集成（如数据库、API、文件、云服务等）。</w:t>
            </w:r>
          </w:p>
          <w:p w14:paraId="4E28F1E7">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(2)提供数据清洗、转换和加载（ETL）功能。</w:t>
            </w:r>
          </w:p>
          <w:p w14:paraId="13D5052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▲(3)支持结构化、半结构化和非结构化数据存储。</w:t>
            </w:r>
          </w:p>
          <w:p w14:paraId="6E32B780">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(4)提供分布式存储和大数据存储（如Hadoop、HDFS）。</w:t>
            </w:r>
          </w:p>
          <w:p w14:paraId="2AB694A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(5)支持实时分析和离线分析。</w:t>
            </w:r>
          </w:p>
          <w:p w14:paraId="3971748E">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▲(6)提供数据挖掘、机器学习算法和预测分析功能。</w:t>
            </w:r>
          </w:p>
          <w:p w14:paraId="509133A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(7)支持多种图表类型（如柱状图、折线图、饼图、地图等）。</w:t>
            </w:r>
          </w:p>
          <w:p w14:paraId="6D77F6EB">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(8)提供自定义报表和仪表盘功能。</w:t>
            </w:r>
          </w:p>
          <w:p w14:paraId="2E48805F">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(9)支持业务用户自助查询和分析，无需技术背景。</w:t>
            </w:r>
          </w:p>
          <w:p w14:paraId="2E717EAD">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(10)支持元数据管理、数据质量管理和数据血缘分析。</w:t>
            </w:r>
          </w:p>
          <w:p w14:paraId="5315753C">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(11)支持自动生成报告，并支持多种格式导出（如PDF、Excel）。</w:t>
            </w:r>
          </w:p>
          <w:p w14:paraId="793F5616">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(12)兼容主流数据库（如Oracle、MySQL、SQL）。</w:t>
            </w:r>
          </w:p>
          <w:p w14:paraId="0DD67B4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(13)支持Hadoop、Spark、Hive、HBase等大数据技术栈。</w:t>
            </w:r>
          </w:p>
          <w:p w14:paraId="78446B92">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(14)支持公有云、私有云和混合云部署（如AWS、Azure、阿里云）。</w:t>
            </w:r>
          </w:p>
          <w:p w14:paraId="25EDC11A">
            <w:pPr>
              <w:spacing w:before="40"/>
              <w:ind w:right="34"/>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(15)提供API接口，支持与第三方系统集成。</w:t>
            </w:r>
          </w:p>
        </w:tc>
      </w:tr>
      <w:tr w14:paraId="1F4C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vAlign w:val="center"/>
          </w:tcPr>
          <w:p w14:paraId="6751FAB4">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3</w:t>
            </w:r>
          </w:p>
        </w:tc>
        <w:tc>
          <w:tcPr>
            <w:tcW w:w="970" w:type="dxa"/>
            <w:vAlign w:val="center"/>
          </w:tcPr>
          <w:p w14:paraId="4F0BC0E1">
            <w:pPr>
              <w:widowControl/>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医保智能监控系统软件</w:t>
            </w:r>
          </w:p>
        </w:tc>
        <w:tc>
          <w:tcPr>
            <w:tcW w:w="554" w:type="dxa"/>
            <w:vAlign w:val="center"/>
          </w:tcPr>
          <w:p w14:paraId="10F34A63">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套</w:t>
            </w:r>
          </w:p>
        </w:tc>
        <w:tc>
          <w:tcPr>
            <w:tcW w:w="554" w:type="dxa"/>
            <w:vAlign w:val="center"/>
          </w:tcPr>
          <w:p w14:paraId="607978DA">
            <w:pPr>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1</w:t>
            </w:r>
          </w:p>
        </w:tc>
        <w:tc>
          <w:tcPr>
            <w:tcW w:w="5663" w:type="dxa"/>
            <w:vAlign w:val="center"/>
          </w:tcPr>
          <w:p w14:paraId="2F4B58D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1、事前监管系统</w:t>
            </w:r>
          </w:p>
          <w:p w14:paraId="789C9AED">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事前监管系统安装在在医师工作站上，为医师提供规则知识、警示信息的提醒，提供审核相关功能。</w:t>
            </w:r>
          </w:p>
          <w:p w14:paraId="2AF08058">
            <w:pPr>
              <w:rPr>
                <w:rFonts w:hint="eastAsia" w:ascii="宋体" w:hAnsi="宋体" w:eastAsia="宋体" w:cs="宋体"/>
                <w:color w:val="000000" w:themeColor="text1"/>
                <w:kern w:val="0"/>
                <w:sz w:val="24"/>
                <w:szCs w:val="24"/>
                <w14:textFill>
                  <w14:solidFill>
                    <w14:schemeClr w14:val="tx1"/>
                  </w14:solidFill>
                </w14:textFill>
              </w:rPr>
            </w:pPr>
            <w:bookmarkStart w:id="0" w:name="OLE_LINK5"/>
            <w:r>
              <w:rPr>
                <w:rFonts w:hint="eastAsia" w:ascii="宋体" w:hAnsi="宋体" w:eastAsia="宋体" w:cs="宋体"/>
                <w:color w:val="000000" w:themeColor="text1"/>
                <w:kern w:val="0"/>
                <w:sz w:val="24"/>
                <w:szCs w:val="24"/>
                <w14:textFill>
                  <w14:solidFill>
                    <w14:schemeClr w14:val="tx1"/>
                  </w14:solidFill>
                </w14:textFill>
              </w:rPr>
              <w:t>▲</w:t>
            </w:r>
            <w:bookmarkEnd w:id="0"/>
            <w:r>
              <w:rPr>
                <w:rFonts w:hint="eastAsia" w:ascii="宋体" w:hAnsi="宋体" w:eastAsia="宋体" w:cs="宋体"/>
                <w:color w:val="000000" w:themeColor="text1"/>
                <w:kern w:val="0"/>
                <w:sz w:val="24"/>
                <w:szCs w:val="24"/>
                <w14:textFill>
                  <w14:solidFill>
                    <w14:schemeClr w14:val="tx1"/>
                  </w14:solidFill>
                </w14:textFill>
              </w:rPr>
              <w:t>(1)智能提醒：智能提醒安装在医师工作站上，为医师提供规则知识、警示信息的提醒。对可能存在的违规行为向医师提供及时准确的信息提醒服务，实现事前预防或有效减少违规行为发生。</w:t>
            </w:r>
          </w:p>
          <w:p w14:paraId="6778686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(2)事前审核管理：系统提供审核管理相关功能，根据提示内容，支持医生填写申诉内容。</w:t>
            </w:r>
          </w:p>
          <w:p w14:paraId="1149958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(3)综合查询：系统提供综合查询功能，包含事前违规明细、事前违规统计等内容。</w:t>
            </w:r>
          </w:p>
          <w:p w14:paraId="4EFB182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2、事中监管系统</w:t>
            </w:r>
          </w:p>
          <w:p w14:paraId="11DAEA36">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事中监管系统针对在院预出院的参保人单据进行智能审核，审核为参保人提供住院医疗服务。</w:t>
            </w:r>
          </w:p>
          <w:p w14:paraId="1657E32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▲(1)过程中是否存在各类违规行为或疑似违规行为。事中监管系统包括预出院审核、综合查询等功能模块。</w:t>
            </w:r>
          </w:p>
          <w:p w14:paraId="44B0FD5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(2)预出院审核：对所有出院参保人单据进行计算机智能审核，医保办审核人员对单  据进行人工干预，审核通过可以出院结算，不通过则通知医生进行修改之后进行出院结算。</w:t>
            </w:r>
          </w:p>
          <w:p w14:paraId="54F4E89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(3)综合查询：通过对医院预出院病人的违规情况以及其他数据进行充分整合，对数据进行分析和挖掘，为医院提供更全面和系统化的决策平台的指标数据展现平台。</w:t>
            </w:r>
          </w:p>
          <w:p w14:paraId="528B18A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3、事后监管系统</w:t>
            </w:r>
          </w:p>
          <w:p w14:paraId="3D3EBDC7">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事后监管系统应该包括事后审核管理、违规审核、综合查询等功能。</w:t>
            </w:r>
          </w:p>
          <w:p w14:paraId="2B034AB8">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(1)事后审核管理：根据事后审核要求，配置审核规则。</w:t>
            </w:r>
          </w:p>
          <w:p w14:paraId="38563D00">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(2)违规审核：对审核结果进行违规认定，查看。</w:t>
            </w:r>
          </w:p>
          <w:p w14:paraId="5F6EFFC4">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(3)综合查询：提供基金使用统计分析功能，支持按月统计，根据科室或医生基金使用排名、基金使用偏离值，各费用占比等。</w:t>
            </w:r>
          </w:p>
          <w:p w14:paraId="4056E914">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4、识库系统</w:t>
            </w:r>
          </w:p>
          <w:p w14:paraId="61388D2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规则进行管理，根据配置的规则知识库，进行医保审核规则引擎开发，用于实现数据违规分析。</w:t>
            </w:r>
          </w:p>
          <w:p w14:paraId="518C697C">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智能引擎管理：根据配置的规则知识库，进行医保审核规则引擎开发，用于实现数据违规分析。智能引擎针对医疗服务过程中各类违规行为或疑似违规行为的数据特征，确定出多种单项监控指标或组合指标，通过智能审核引擎基于规则库设置的规则对医保就诊结算信息进行逐条比对、筛选、过滤，产生违规、疑点记录。</w:t>
            </w:r>
          </w:p>
          <w:p w14:paraId="12B7A31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(2)基础知识管理：对智能审核引擎所依赖的基础知识进行管理，包含规则管理、药品目录查询、诊疗目录查询、医疗器械目录查询等功能。</w:t>
            </w:r>
          </w:p>
          <w:p w14:paraId="29F8C2E3">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(3)医保规则库管理：针对医保规则库进行管理，提供医保智能审核相关必备的知识库，包括但不限于重复收费、支付规则、违反限用等。</w:t>
            </w:r>
          </w:p>
          <w:p w14:paraId="475938E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5、系统管理</w:t>
            </w:r>
          </w:p>
          <w:p w14:paraId="44E91032">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平台支持对组织单位管理，用户信息管理、角色信息管理、部门信息管理、工作人员管理、数据字典管理、登录密码修改。支持病种目录管理、ICD编码管理、系统参数配置管理、质控规则管理。</w:t>
            </w:r>
          </w:p>
          <w:p w14:paraId="3C1F27EE">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6、数据治理平台</w:t>
            </w:r>
          </w:p>
          <w:p w14:paraId="124BA02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提供数据采集、映射、清洗，支持主流数据库对接，对院内各个业务系统数据进行数据分析、清洗、映射、存储等操作，系统提供统一接口平台供HIS对接，接口符合医保接口规范。</w:t>
            </w:r>
          </w:p>
          <w:p w14:paraId="7A4C48C4">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(1)提供实时监测数据质量，并可生成可视化图表及报告，包括：一致性、完整性、整合性、及时性。</w:t>
            </w:r>
          </w:p>
          <w:p w14:paraId="5B907B6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(2)快速检索：支持数据快速检索，并可按业务项目展示。</w:t>
            </w:r>
          </w:p>
          <w:p w14:paraId="50DB8738">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(3)支持图标及各种查询对于入库的数据质量进行监控校验，需要支持设定时间范围入库数据记录数等指标，需要支持自定义校验规则，对于数据质量出现问题的状况进行提示。</w:t>
            </w:r>
          </w:p>
          <w:p w14:paraId="10DF56E6">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(4)数据校验的规则，应包括： 1）数据字段有值校验：对于关键字段，如患者年龄、性别等，如果为空则进行过滤和清洗； 2）数据字段规范性校验：对于给定类型的字段，如就诊时间，如果不符合时间格式定义，或者时间范围异常，将进行过滤和清洗。</w:t>
            </w:r>
          </w:p>
          <w:p w14:paraId="63156A14">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7、系统技术规格及要求</w:t>
            </w:r>
          </w:p>
          <w:p w14:paraId="479367C4">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(1)安全要求</w:t>
            </w:r>
          </w:p>
          <w:p w14:paraId="7D00B69F">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系统服务器必须在医院内网部署</w:t>
            </w:r>
          </w:p>
          <w:p w14:paraId="1F6AEB99">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(2)性能要求</w:t>
            </w:r>
          </w:p>
          <w:p w14:paraId="63DD0D8B">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提供不同级别，不同故障情况下的应用系统的应急预案（指技术实现方案）。避免因计算机故障导致的医疗工作的延迟和医疗差错。</w:t>
            </w:r>
          </w:p>
          <w:p w14:paraId="325D79D8">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(3)总体架构要求</w:t>
            </w:r>
          </w:p>
          <w:p w14:paraId="0983C5EA">
            <w:pP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开发平台采用主流开发平台，平台在技术上需按照面向互联网的软件技术架构进行设计，平台需自上而下采用分层设计原则，各层级之间数据业务互通，底层为上层提供数据及业务支撑。</w:t>
            </w:r>
          </w:p>
        </w:tc>
      </w:tr>
    </w:tbl>
    <w:p w14:paraId="2539EEDA">
      <w:pPr>
        <w:rPr>
          <w:rFonts w:hint="eastAsia" w:ascii="宋体" w:hAnsi="宋体" w:eastAsia="宋体" w:cs="宋体"/>
          <w:b/>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golian Baiti">
    <w:panose1 w:val="03000500000000000000"/>
    <w:charset w:val="00"/>
    <w:family w:val="script"/>
    <w:pitch w:val="default"/>
    <w:sig w:usb0="80000023" w:usb1="00000000" w:usb2="00020000" w:usb3="00000000" w:csb0="0000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altName w:val="宋体"/>
    <w:panose1 w:val="020B0503020204020204"/>
    <w:charset w:val="86"/>
    <w:family w:val="swiss"/>
    <w:pitch w:val="default"/>
    <w:sig w:usb0="00000000" w:usb1="0000000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8583840"/>
    </w:sdtPr>
    <w:sdtContent>
      <w:p w14:paraId="243DE448">
        <w:pPr>
          <w:pStyle w:val="10"/>
          <w:jc w:val="center"/>
        </w:pPr>
        <w:r>
          <w:fldChar w:fldCharType="begin"/>
        </w:r>
        <w:r>
          <w:instrText xml:space="preserve">PAGE   \* MERGEFORMAT</w:instrText>
        </w:r>
        <w:r>
          <w:fldChar w:fldCharType="separate"/>
        </w:r>
        <w:r>
          <w:rPr>
            <w:lang w:val="zh-CN"/>
          </w:rPr>
          <w:t>3</w:t>
        </w:r>
        <w:r>
          <w:rPr>
            <w:lang w:val="zh-CN"/>
          </w:rPr>
          <w:fldChar w:fldCharType="end"/>
        </w:r>
      </w:p>
    </w:sdtContent>
  </w:sdt>
  <w:p w14:paraId="756B5167">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3"/>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BA8"/>
    <w:rsid w:val="00000632"/>
    <w:rsid w:val="000024FB"/>
    <w:rsid w:val="0000300A"/>
    <w:rsid w:val="00003057"/>
    <w:rsid w:val="000062FF"/>
    <w:rsid w:val="00010190"/>
    <w:rsid w:val="00012658"/>
    <w:rsid w:val="00012FAA"/>
    <w:rsid w:val="00013785"/>
    <w:rsid w:val="00014F16"/>
    <w:rsid w:val="00016697"/>
    <w:rsid w:val="00020AED"/>
    <w:rsid w:val="00022738"/>
    <w:rsid w:val="0002703F"/>
    <w:rsid w:val="00027388"/>
    <w:rsid w:val="00030F47"/>
    <w:rsid w:val="000346AF"/>
    <w:rsid w:val="00040722"/>
    <w:rsid w:val="0004583C"/>
    <w:rsid w:val="00050254"/>
    <w:rsid w:val="000514B8"/>
    <w:rsid w:val="00055CF9"/>
    <w:rsid w:val="00061674"/>
    <w:rsid w:val="0006199A"/>
    <w:rsid w:val="00061AF8"/>
    <w:rsid w:val="00062982"/>
    <w:rsid w:val="000653C9"/>
    <w:rsid w:val="000663D9"/>
    <w:rsid w:val="00066D15"/>
    <w:rsid w:val="000701C1"/>
    <w:rsid w:val="00071168"/>
    <w:rsid w:val="00072F6E"/>
    <w:rsid w:val="000760BD"/>
    <w:rsid w:val="00076180"/>
    <w:rsid w:val="000775A0"/>
    <w:rsid w:val="00077F73"/>
    <w:rsid w:val="00080391"/>
    <w:rsid w:val="000821F0"/>
    <w:rsid w:val="00084530"/>
    <w:rsid w:val="00087BD9"/>
    <w:rsid w:val="00090FE8"/>
    <w:rsid w:val="000912CB"/>
    <w:rsid w:val="00092E00"/>
    <w:rsid w:val="00096BA0"/>
    <w:rsid w:val="00097E04"/>
    <w:rsid w:val="000A2C1F"/>
    <w:rsid w:val="000A3661"/>
    <w:rsid w:val="000A4B26"/>
    <w:rsid w:val="000A55D3"/>
    <w:rsid w:val="000A5A24"/>
    <w:rsid w:val="000A5D97"/>
    <w:rsid w:val="000A635B"/>
    <w:rsid w:val="000B052A"/>
    <w:rsid w:val="000B3E0A"/>
    <w:rsid w:val="000B7ABA"/>
    <w:rsid w:val="000C0782"/>
    <w:rsid w:val="000C1A2C"/>
    <w:rsid w:val="000C2B52"/>
    <w:rsid w:val="000C3376"/>
    <w:rsid w:val="000C3FA8"/>
    <w:rsid w:val="000C4834"/>
    <w:rsid w:val="000C5179"/>
    <w:rsid w:val="000C5F47"/>
    <w:rsid w:val="000C687E"/>
    <w:rsid w:val="000C7084"/>
    <w:rsid w:val="000D16E2"/>
    <w:rsid w:val="000D2E3C"/>
    <w:rsid w:val="000D5E6D"/>
    <w:rsid w:val="000E0616"/>
    <w:rsid w:val="000E1302"/>
    <w:rsid w:val="000E20B1"/>
    <w:rsid w:val="000E35A4"/>
    <w:rsid w:val="000E368E"/>
    <w:rsid w:val="000E66C6"/>
    <w:rsid w:val="000E7934"/>
    <w:rsid w:val="000F0C42"/>
    <w:rsid w:val="000F1AED"/>
    <w:rsid w:val="000F1C24"/>
    <w:rsid w:val="000F3099"/>
    <w:rsid w:val="000F4A54"/>
    <w:rsid w:val="00100630"/>
    <w:rsid w:val="00102043"/>
    <w:rsid w:val="00102633"/>
    <w:rsid w:val="001055B5"/>
    <w:rsid w:val="00105E35"/>
    <w:rsid w:val="0011676F"/>
    <w:rsid w:val="00117228"/>
    <w:rsid w:val="00120AD5"/>
    <w:rsid w:val="001236AF"/>
    <w:rsid w:val="001238B2"/>
    <w:rsid w:val="00124AF7"/>
    <w:rsid w:val="001325C9"/>
    <w:rsid w:val="001335D7"/>
    <w:rsid w:val="001372CC"/>
    <w:rsid w:val="00137505"/>
    <w:rsid w:val="001405D8"/>
    <w:rsid w:val="00141391"/>
    <w:rsid w:val="001502D7"/>
    <w:rsid w:val="00154050"/>
    <w:rsid w:val="0016007B"/>
    <w:rsid w:val="0016020E"/>
    <w:rsid w:val="00160F80"/>
    <w:rsid w:val="00163FDA"/>
    <w:rsid w:val="00164497"/>
    <w:rsid w:val="00166A8F"/>
    <w:rsid w:val="00167E93"/>
    <w:rsid w:val="00171255"/>
    <w:rsid w:val="00174D85"/>
    <w:rsid w:val="00176086"/>
    <w:rsid w:val="00180FB4"/>
    <w:rsid w:val="001814D4"/>
    <w:rsid w:val="0018380F"/>
    <w:rsid w:val="001847BB"/>
    <w:rsid w:val="00184E41"/>
    <w:rsid w:val="001908B9"/>
    <w:rsid w:val="00191BF3"/>
    <w:rsid w:val="001951FF"/>
    <w:rsid w:val="001A307E"/>
    <w:rsid w:val="001A439B"/>
    <w:rsid w:val="001A469D"/>
    <w:rsid w:val="001A4FBD"/>
    <w:rsid w:val="001B410F"/>
    <w:rsid w:val="001B5D42"/>
    <w:rsid w:val="001B5D6B"/>
    <w:rsid w:val="001C2BD4"/>
    <w:rsid w:val="001C34C5"/>
    <w:rsid w:val="001D0C84"/>
    <w:rsid w:val="001D0E02"/>
    <w:rsid w:val="001D124C"/>
    <w:rsid w:val="001D7605"/>
    <w:rsid w:val="001E0732"/>
    <w:rsid w:val="001E17D7"/>
    <w:rsid w:val="001E3D87"/>
    <w:rsid w:val="001E4410"/>
    <w:rsid w:val="001E7C99"/>
    <w:rsid w:val="001F1083"/>
    <w:rsid w:val="001F31A9"/>
    <w:rsid w:val="001F33CF"/>
    <w:rsid w:val="0020522D"/>
    <w:rsid w:val="00211BBA"/>
    <w:rsid w:val="00211D7B"/>
    <w:rsid w:val="00213AF6"/>
    <w:rsid w:val="00214A10"/>
    <w:rsid w:val="00221958"/>
    <w:rsid w:val="002221CE"/>
    <w:rsid w:val="002231B5"/>
    <w:rsid w:val="00225171"/>
    <w:rsid w:val="00226880"/>
    <w:rsid w:val="002327E0"/>
    <w:rsid w:val="002366F0"/>
    <w:rsid w:val="00236E7C"/>
    <w:rsid w:val="00237825"/>
    <w:rsid w:val="002409CA"/>
    <w:rsid w:val="00240DC6"/>
    <w:rsid w:val="0025273C"/>
    <w:rsid w:val="00253E23"/>
    <w:rsid w:val="00254461"/>
    <w:rsid w:val="00255D1B"/>
    <w:rsid w:val="00256EA6"/>
    <w:rsid w:val="00261572"/>
    <w:rsid w:val="00261700"/>
    <w:rsid w:val="00263067"/>
    <w:rsid w:val="002653D9"/>
    <w:rsid w:val="00267309"/>
    <w:rsid w:val="00270182"/>
    <w:rsid w:val="002756DC"/>
    <w:rsid w:val="00285B3C"/>
    <w:rsid w:val="00291015"/>
    <w:rsid w:val="00293AA1"/>
    <w:rsid w:val="00293FA3"/>
    <w:rsid w:val="00294869"/>
    <w:rsid w:val="00294FCB"/>
    <w:rsid w:val="002A6056"/>
    <w:rsid w:val="002A7EFE"/>
    <w:rsid w:val="002B17CB"/>
    <w:rsid w:val="002B3553"/>
    <w:rsid w:val="002C4455"/>
    <w:rsid w:val="002C7657"/>
    <w:rsid w:val="002C7923"/>
    <w:rsid w:val="002D2763"/>
    <w:rsid w:val="002D3657"/>
    <w:rsid w:val="002D481B"/>
    <w:rsid w:val="002D5464"/>
    <w:rsid w:val="002D58DA"/>
    <w:rsid w:val="002D61BD"/>
    <w:rsid w:val="002D68D1"/>
    <w:rsid w:val="002D776B"/>
    <w:rsid w:val="002E2BF6"/>
    <w:rsid w:val="002E2E8D"/>
    <w:rsid w:val="002E3DF6"/>
    <w:rsid w:val="002E4103"/>
    <w:rsid w:val="002E5AAC"/>
    <w:rsid w:val="002E5B05"/>
    <w:rsid w:val="002E670E"/>
    <w:rsid w:val="002E74B7"/>
    <w:rsid w:val="002F3C7D"/>
    <w:rsid w:val="003051AB"/>
    <w:rsid w:val="0030650D"/>
    <w:rsid w:val="00311F66"/>
    <w:rsid w:val="0031268B"/>
    <w:rsid w:val="00314D9B"/>
    <w:rsid w:val="003156E7"/>
    <w:rsid w:val="00320818"/>
    <w:rsid w:val="00320DA6"/>
    <w:rsid w:val="00320DDD"/>
    <w:rsid w:val="003230EF"/>
    <w:rsid w:val="00323B9A"/>
    <w:rsid w:val="00326688"/>
    <w:rsid w:val="003267A6"/>
    <w:rsid w:val="003320DD"/>
    <w:rsid w:val="003327AF"/>
    <w:rsid w:val="00332C71"/>
    <w:rsid w:val="00344B00"/>
    <w:rsid w:val="00363546"/>
    <w:rsid w:val="00363999"/>
    <w:rsid w:val="003721EF"/>
    <w:rsid w:val="00374E85"/>
    <w:rsid w:val="003773FA"/>
    <w:rsid w:val="0038053D"/>
    <w:rsid w:val="00380727"/>
    <w:rsid w:val="00382477"/>
    <w:rsid w:val="00386ADD"/>
    <w:rsid w:val="0039311D"/>
    <w:rsid w:val="003947DA"/>
    <w:rsid w:val="00394B6F"/>
    <w:rsid w:val="00394BD1"/>
    <w:rsid w:val="00395D50"/>
    <w:rsid w:val="00395EDA"/>
    <w:rsid w:val="003A0062"/>
    <w:rsid w:val="003A4CBB"/>
    <w:rsid w:val="003B41C0"/>
    <w:rsid w:val="003B44BC"/>
    <w:rsid w:val="003B7CDA"/>
    <w:rsid w:val="003C1F1C"/>
    <w:rsid w:val="003C2047"/>
    <w:rsid w:val="003C248B"/>
    <w:rsid w:val="003C5EC3"/>
    <w:rsid w:val="003D664F"/>
    <w:rsid w:val="003E156F"/>
    <w:rsid w:val="003E648B"/>
    <w:rsid w:val="003F1414"/>
    <w:rsid w:val="003F6F7F"/>
    <w:rsid w:val="00414337"/>
    <w:rsid w:val="00414783"/>
    <w:rsid w:val="00414C53"/>
    <w:rsid w:val="00415B16"/>
    <w:rsid w:val="00416DA1"/>
    <w:rsid w:val="00421C26"/>
    <w:rsid w:val="00421D3B"/>
    <w:rsid w:val="00422A1E"/>
    <w:rsid w:val="0042636D"/>
    <w:rsid w:val="00427032"/>
    <w:rsid w:val="00430411"/>
    <w:rsid w:val="00433908"/>
    <w:rsid w:val="0043510E"/>
    <w:rsid w:val="00444ACB"/>
    <w:rsid w:val="0044564C"/>
    <w:rsid w:val="00446458"/>
    <w:rsid w:val="0044779D"/>
    <w:rsid w:val="00451274"/>
    <w:rsid w:val="004675C7"/>
    <w:rsid w:val="0047139D"/>
    <w:rsid w:val="004744F6"/>
    <w:rsid w:val="0048143E"/>
    <w:rsid w:val="00484553"/>
    <w:rsid w:val="004847C9"/>
    <w:rsid w:val="004861CD"/>
    <w:rsid w:val="004963A7"/>
    <w:rsid w:val="00496CE4"/>
    <w:rsid w:val="004A022C"/>
    <w:rsid w:val="004A34DC"/>
    <w:rsid w:val="004A4947"/>
    <w:rsid w:val="004B0CCE"/>
    <w:rsid w:val="004B7AB1"/>
    <w:rsid w:val="004C0081"/>
    <w:rsid w:val="004C0656"/>
    <w:rsid w:val="004C1C60"/>
    <w:rsid w:val="004D12AC"/>
    <w:rsid w:val="004D4D79"/>
    <w:rsid w:val="004D718A"/>
    <w:rsid w:val="004E0843"/>
    <w:rsid w:val="004E4FF4"/>
    <w:rsid w:val="004F026F"/>
    <w:rsid w:val="004F1F87"/>
    <w:rsid w:val="004F1FB6"/>
    <w:rsid w:val="004F2840"/>
    <w:rsid w:val="004F37B7"/>
    <w:rsid w:val="00505216"/>
    <w:rsid w:val="005057D5"/>
    <w:rsid w:val="0050623E"/>
    <w:rsid w:val="00512E8F"/>
    <w:rsid w:val="00520A04"/>
    <w:rsid w:val="0052177E"/>
    <w:rsid w:val="005250BE"/>
    <w:rsid w:val="00525877"/>
    <w:rsid w:val="00526B15"/>
    <w:rsid w:val="005302F6"/>
    <w:rsid w:val="0053235D"/>
    <w:rsid w:val="005346E0"/>
    <w:rsid w:val="00536887"/>
    <w:rsid w:val="00537172"/>
    <w:rsid w:val="00540450"/>
    <w:rsid w:val="00544C55"/>
    <w:rsid w:val="0054539D"/>
    <w:rsid w:val="00545733"/>
    <w:rsid w:val="0054640B"/>
    <w:rsid w:val="0055071D"/>
    <w:rsid w:val="00552823"/>
    <w:rsid w:val="00552E37"/>
    <w:rsid w:val="00553F02"/>
    <w:rsid w:val="00553F50"/>
    <w:rsid w:val="005602A0"/>
    <w:rsid w:val="00562741"/>
    <w:rsid w:val="00566297"/>
    <w:rsid w:val="00567361"/>
    <w:rsid w:val="00571CC4"/>
    <w:rsid w:val="00573536"/>
    <w:rsid w:val="0058225B"/>
    <w:rsid w:val="00590722"/>
    <w:rsid w:val="005A04C9"/>
    <w:rsid w:val="005A26EA"/>
    <w:rsid w:val="005A286E"/>
    <w:rsid w:val="005A6F60"/>
    <w:rsid w:val="005B311C"/>
    <w:rsid w:val="005B4B0B"/>
    <w:rsid w:val="005C22D7"/>
    <w:rsid w:val="005C5054"/>
    <w:rsid w:val="005C6ADE"/>
    <w:rsid w:val="005D04E3"/>
    <w:rsid w:val="005D3521"/>
    <w:rsid w:val="005D3C52"/>
    <w:rsid w:val="005D4B1E"/>
    <w:rsid w:val="005D6203"/>
    <w:rsid w:val="005E1280"/>
    <w:rsid w:val="005E3303"/>
    <w:rsid w:val="005F0253"/>
    <w:rsid w:val="005F1EBC"/>
    <w:rsid w:val="005F24A2"/>
    <w:rsid w:val="005F406B"/>
    <w:rsid w:val="005F472C"/>
    <w:rsid w:val="005F4EBA"/>
    <w:rsid w:val="005F5C32"/>
    <w:rsid w:val="005F7675"/>
    <w:rsid w:val="00601728"/>
    <w:rsid w:val="00603A14"/>
    <w:rsid w:val="0060518A"/>
    <w:rsid w:val="00607996"/>
    <w:rsid w:val="00611286"/>
    <w:rsid w:val="00612996"/>
    <w:rsid w:val="0061333D"/>
    <w:rsid w:val="0061404A"/>
    <w:rsid w:val="00615882"/>
    <w:rsid w:val="00616278"/>
    <w:rsid w:val="00624917"/>
    <w:rsid w:val="00626C0B"/>
    <w:rsid w:val="00633776"/>
    <w:rsid w:val="0063434F"/>
    <w:rsid w:val="00634C5E"/>
    <w:rsid w:val="006366F0"/>
    <w:rsid w:val="006376BA"/>
    <w:rsid w:val="00644C36"/>
    <w:rsid w:val="00651F62"/>
    <w:rsid w:val="0065221B"/>
    <w:rsid w:val="00653081"/>
    <w:rsid w:val="00654E2F"/>
    <w:rsid w:val="00656BF8"/>
    <w:rsid w:val="00657B96"/>
    <w:rsid w:val="00663166"/>
    <w:rsid w:val="006636D7"/>
    <w:rsid w:val="00665045"/>
    <w:rsid w:val="00671C4B"/>
    <w:rsid w:val="00672A21"/>
    <w:rsid w:val="00680061"/>
    <w:rsid w:val="00681725"/>
    <w:rsid w:val="006819C6"/>
    <w:rsid w:val="00687465"/>
    <w:rsid w:val="0069371D"/>
    <w:rsid w:val="00693D1F"/>
    <w:rsid w:val="00693E87"/>
    <w:rsid w:val="00693E88"/>
    <w:rsid w:val="006A5FD8"/>
    <w:rsid w:val="006B44D1"/>
    <w:rsid w:val="006B7B53"/>
    <w:rsid w:val="006C56A2"/>
    <w:rsid w:val="006D3062"/>
    <w:rsid w:val="006D733C"/>
    <w:rsid w:val="006E0AAD"/>
    <w:rsid w:val="006E3E9C"/>
    <w:rsid w:val="006E4782"/>
    <w:rsid w:val="006E49EF"/>
    <w:rsid w:val="006F171E"/>
    <w:rsid w:val="006F28F0"/>
    <w:rsid w:val="006F2DB9"/>
    <w:rsid w:val="006F4C85"/>
    <w:rsid w:val="006F7043"/>
    <w:rsid w:val="0070236B"/>
    <w:rsid w:val="007040B1"/>
    <w:rsid w:val="007062AF"/>
    <w:rsid w:val="0070666A"/>
    <w:rsid w:val="007155DA"/>
    <w:rsid w:val="00716B7C"/>
    <w:rsid w:val="00722C67"/>
    <w:rsid w:val="00726B3A"/>
    <w:rsid w:val="00727750"/>
    <w:rsid w:val="00727DD7"/>
    <w:rsid w:val="00736598"/>
    <w:rsid w:val="007365D0"/>
    <w:rsid w:val="00736C1E"/>
    <w:rsid w:val="007423E0"/>
    <w:rsid w:val="0074432C"/>
    <w:rsid w:val="007452DF"/>
    <w:rsid w:val="00753DAC"/>
    <w:rsid w:val="00755239"/>
    <w:rsid w:val="00756DC8"/>
    <w:rsid w:val="00760B68"/>
    <w:rsid w:val="00764E65"/>
    <w:rsid w:val="00770756"/>
    <w:rsid w:val="00770A63"/>
    <w:rsid w:val="007722EC"/>
    <w:rsid w:val="00774088"/>
    <w:rsid w:val="00781A87"/>
    <w:rsid w:val="007836CD"/>
    <w:rsid w:val="0078416D"/>
    <w:rsid w:val="00785102"/>
    <w:rsid w:val="0079028B"/>
    <w:rsid w:val="00793789"/>
    <w:rsid w:val="00794987"/>
    <w:rsid w:val="007957F7"/>
    <w:rsid w:val="007A5822"/>
    <w:rsid w:val="007A5C0B"/>
    <w:rsid w:val="007B1BA2"/>
    <w:rsid w:val="007C1B00"/>
    <w:rsid w:val="007C5DF7"/>
    <w:rsid w:val="007D436E"/>
    <w:rsid w:val="007E095C"/>
    <w:rsid w:val="007E0B6A"/>
    <w:rsid w:val="007E0FBC"/>
    <w:rsid w:val="007E5567"/>
    <w:rsid w:val="007E6A77"/>
    <w:rsid w:val="007E6E9D"/>
    <w:rsid w:val="007F03E5"/>
    <w:rsid w:val="007F0DEE"/>
    <w:rsid w:val="007F5EC9"/>
    <w:rsid w:val="007F6623"/>
    <w:rsid w:val="007F66EE"/>
    <w:rsid w:val="007F6BA1"/>
    <w:rsid w:val="007F6FCE"/>
    <w:rsid w:val="008023D9"/>
    <w:rsid w:val="00803FAE"/>
    <w:rsid w:val="008042A3"/>
    <w:rsid w:val="0080637B"/>
    <w:rsid w:val="0080708B"/>
    <w:rsid w:val="00807D0B"/>
    <w:rsid w:val="00810D84"/>
    <w:rsid w:val="00811D8D"/>
    <w:rsid w:val="008137E1"/>
    <w:rsid w:val="00815694"/>
    <w:rsid w:val="008160FB"/>
    <w:rsid w:val="008164BB"/>
    <w:rsid w:val="00821687"/>
    <w:rsid w:val="0082365C"/>
    <w:rsid w:val="00827995"/>
    <w:rsid w:val="008279BC"/>
    <w:rsid w:val="00830904"/>
    <w:rsid w:val="00836A4B"/>
    <w:rsid w:val="00837488"/>
    <w:rsid w:val="008378C3"/>
    <w:rsid w:val="00841F21"/>
    <w:rsid w:val="008425AC"/>
    <w:rsid w:val="008429A7"/>
    <w:rsid w:val="00845CA5"/>
    <w:rsid w:val="00851B81"/>
    <w:rsid w:val="00852EE7"/>
    <w:rsid w:val="008553CC"/>
    <w:rsid w:val="00855CCD"/>
    <w:rsid w:val="00856224"/>
    <w:rsid w:val="008622FC"/>
    <w:rsid w:val="00862DFA"/>
    <w:rsid w:val="008644DB"/>
    <w:rsid w:val="008657D6"/>
    <w:rsid w:val="0086608E"/>
    <w:rsid w:val="0087683A"/>
    <w:rsid w:val="008776D3"/>
    <w:rsid w:val="008812EC"/>
    <w:rsid w:val="008819E1"/>
    <w:rsid w:val="00881FA7"/>
    <w:rsid w:val="00882F0E"/>
    <w:rsid w:val="00883F27"/>
    <w:rsid w:val="0088505F"/>
    <w:rsid w:val="00886ADB"/>
    <w:rsid w:val="00890427"/>
    <w:rsid w:val="008906AB"/>
    <w:rsid w:val="0089099E"/>
    <w:rsid w:val="0089167E"/>
    <w:rsid w:val="00891B7B"/>
    <w:rsid w:val="00893C1B"/>
    <w:rsid w:val="00894C03"/>
    <w:rsid w:val="00896B46"/>
    <w:rsid w:val="00897E8B"/>
    <w:rsid w:val="008A088F"/>
    <w:rsid w:val="008A3B57"/>
    <w:rsid w:val="008A6E71"/>
    <w:rsid w:val="008B2924"/>
    <w:rsid w:val="008B4537"/>
    <w:rsid w:val="008C03E0"/>
    <w:rsid w:val="008C39D5"/>
    <w:rsid w:val="008C680E"/>
    <w:rsid w:val="008D30E0"/>
    <w:rsid w:val="008D4AFA"/>
    <w:rsid w:val="008D7C55"/>
    <w:rsid w:val="008D7EC4"/>
    <w:rsid w:val="008D7FF1"/>
    <w:rsid w:val="008E068D"/>
    <w:rsid w:val="008E394D"/>
    <w:rsid w:val="008E425C"/>
    <w:rsid w:val="008E5AA4"/>
    <w:rsid w:val="008E7B08"/>
    <w:rsid w:val="008F060B"/>
    <w:rsid w:val="008F3236"/>
    <w:rsid w:val="008F5C26"/>
    <w:rsid w:val="008F6430"/>
    <w:rsid w:val="0090081B"/>
    <w:rsid w:val="0090546B"/>
    <w:rsid w:val="00906BB4"/>
    <w:rsid w:val="00910BEE"/>
    <w:rsid w:val="009125D4"/>
    <w:rsid w:val="00912AE5"/>
    <w:rsid w:val="0091366E"/>
    <w:rsid w:val="00913B8A"/>
    <w:rsid w:val="009179E7"/>
    <w:rsid w:val="00921CCA"/>
    <w:rsid w:val="00923644"/>
    <w:rsid w:val="00923B74"/>
    <w:rsid w:val="00923C64"/>
    <w:rsid w:val="0092592A"/>
    <w:rsid w:val="00926B35"/>
    <w:rsid w:val="00930512"/>
    <w:rsid w:val="0093228D"/>
    <w:rsid w:val="00933CDA"/>
    <w:rsid w:val="00934BEA"/>
    <w:rsid w:val="00937DA4"/>
    <w:rsid w:val="00940570"/>
    <w:rsid w:val="009449ED"/>
    <w:rsid w:val="00945B75"/>
    <w:rsid w:val="00947350"/>
    <w:rsid w:val="00956D74"/>
    <w:rsid w:val="00957E21"/>
    <w:rsid w:val="00960180"/>
    <w:rsid w:val="009617B6"/>
    <w:rsid w:val="009624E3"/>
    <w:rsid w:val="00964D11"/>
    <w:rsid w:val="00966E49"/>
    <w:rsid w:val="00972D47"/>
    <w:rsid w:val="00982D89"/>
    <w:rsid w:val="00984008"/>
    <w:rsid w:val="0098424F"/>
    <w:rsid w:val="009844DB"/>
    <w:rsid w:val="00987612"/>
    <w:rsid w:val="00992A19"/>
    <w:rsid w:val="00993428"/>
    <w:rsid w:val="00993B1B"/>
    <w:rsid w:val="0099458F"/>
    <w:rsid w:val="00996734"/>
    <w:rsid w:val="00996CAA"/>
    <w:rsid w:val="009A059E"/>
    <w:rsid w:val="009A60AF"/>
    <w:rsid w:val="009A7B1B"/>
    <w:rsid w:val="009B411E"/>
    <w:rsid w:val="009B4340"/>
    <w:rsid w:val="009B5C49"/>
    <w:rsid w:val="009C0696"/>
    <w:rsid w:val="009C3C3C"/>
    <w:rsid w:val="009C54A6"/>
    <w:rsid w:val="009C5845"/>
    <w:rsid w:val="009D4A93"/>
    <w:rsid w:val="009D739F"/>
    <w:rsid w:val="009E04E1"/>
    <w:rsid w:val="009E05F0"/>
    <w:rsid w:val="009E0EE3"/>
    <w:rsid w:val="009E68F2"/>
    <w:rsid w:val="009E7312"/>
    <w:rsid w:val="009F7487"/>
    <w:rsid w:val="009F7EF8"/>
    <w:rsid w:val="00A005E2"/>
    <w:rsid w:val="00A039A7"/>
    <w:rsid w:val="00A12D55"/>
    <w:rsid w:val="00A13D20"/>
    <w:rsid w:val="00A20D6E"/>
    <w:rsid w:val="00A258A5"/>
    <w:rsid w:val="00A25E89"/>
    <w:rsid w:val="00A3114E"/>
    <w:rsid w:val="00A33C3B"/>
    <w:rsid w:val="00A35288"/>
    <w:rsid w:val="00A35F8D"/>
    <w:rsid w:val="00A37E67"/>
    <w:rsid w:val="00A40979"/>
    <w:rsid w:val="00A43590"/>
    <w:rsid w:val="00A46662"/>
    <w:rsid w:val="00A46BE5"/>
    <w:rsid w:val="00A51F0E"/>
    <w:rsid w:val="00A567D1"/>
    <w:rsid w:val="00A6462D"/>
    <w:rsid w:val="00A714AE"/>
    <w:rsid w:val="00A8097C"/>
    <w:rsid w:val="00A83C1F"/>
    <w:rsid w:val="00A83FAF"/>
    <w:rsid w:val="00A906A8"/>
    <w:rsid w:val="00AA2221"/>
    <w:rsid w:val="00AA42D2"/>
    <w:rsid w:val="00AA7059"/>
    <w:rsid w:val="00AB2759"/>
    <w:rsid w:val="00AB3121"/>
    <w:rsid w:val="00AC109B"/>
    <w:rsid w:val="00AC31A9"/>
    <w:rsid w:val="00AC63AF"/>
    <w:rsid w:val="00AC6967"/>
    <w:rsid w:val="00AC7118"/>
    <w:rsid w:val="00AC72ED"/>
    <w:rsid w:val="00AD0E98"/>
    <w:rsid w:val="00AD3377"/>
    <w:rsid w:val="00AD5D58"/>
    <w:rsid w:val="00AE0E5B"/>
    <w:rsid w:val="00AE1397"/>
    <w:rsid w:val="00AE234E"/>
    <w:rsid w:val="00AE29D8"/>
    <w:rsid w:val="00AE3C98"/>
    <w:rsid w:val="00AE7A34"/>
    <w:rsid w:val="00AF0F25"/>
    <w:rsid w:val="00AF1E1C"/>
    <w:rsid w:val="00AF3F6B"/>
    <w:rsid w:val="00AF40DA"/>
    <w:rsid w:val="00AF4193"/>
    <w:rsid w:val="00AF647E"/>
    <w:rsid w:val="00B000BB"/>
    <w:rsid w:val="00B003E8"/>
    <w:rsid w:val="00B02080"/>
    <w:rsid w:val="00B043F7"/>
    <w:rsid w:val="00B052FB"/>
    <w:rsid w:val="00B06158"/>
    <w:rsid w:val="00B11A0A"/>
    <w:rsid w:val="00B17EB7"/>
    <w:rsid w:val="00B20378"/>
    <w:rsid w:val="00B223A5"/>
    <w:rsid w:val="00B24C3A"/>
    <w:rsid w:val="00B26502"/>
    <w:rsid w:val="00B33573"/>
    <w:rsid w:val="00B34586"/>
    <w:rsid w:val="00B3688B"/>
    <w:rsid w:val="00B51297"/>
    <w:rsid w:val="00B515BF"/>
    <w:rsid w:val="00B51A34"/>
    <w:rsid w:val="00B56AE5"/>
    <w:rsid w:val="00B604A9"/>
    <w:rsid w:val="00B6371F"/>
    <w:rsid w:val="00B644B6"/>
    <w:rsid w:val="00B77CDC"/>
    <w:rsid w:val="00B8733B"/>
    <w:rsid w:val="00B904C1"/>
    <w:rsid w:val="00B91201"/>
    <w:rsid w:val="00B91BCB"/>
    <w:rsid w:val="00B92A68"/>
    <w:rsid w:val="00B930DC"/>
    <w:rsid w:val="00B977A8"/>
    <w:rsid w:val="00BA05F6"/>
    <w:rsid w:val="00BB4246"/>
    <w:rsid w:val="00BB7B5A"/>
    <w:rsid w:val="00BC3631"/>
    <w:rsid w:val="00BC372C"/>
    <w:rsid w:val="00BC4862"/>
    <w:rsid w:val="00BD4170"/>
    <w:rsid w:val="00BD69FF"/>
    <w:rsid w:val="00BE0EFA"/>
    <w:rsid w:val="00BE54B0"/>
    <w:rsid w:val="00BE75F7"/>
    <w:rsid w:val="00BF0E87"/>
    <w:rsid w:val="00BF1826"/>
    <w:rsid w:val="00BF42DF"/>
    <w:rsid w:val="00BF7C2E"/>
    <w:rsid w:val="00C00255"/>
    <w:rsid w:val="00C13087"/>
    <w:rsid w:val="00C151D3"/>
    <w:rsid w:val="00C20EC0"/>
    <w:rsid w:val="00C24221"/>
    <w:rsid w:val="00C30BA8"/>
    <w:rsid w:val="00C31307"/>
    <w:rsid w:val="00C34E06"/>
    <w:rsid w:val="00C36A46"/>
    <w:rsid w:val="00C41D78"/>
    <w:rsid w:val="00C43AAB"/>
    <w:rsid w:val="00C4470B"/>
    <w:rsid w:val="00C458DE"/>
    <w:rsid w:val="00C465D8"/>
    <w:rsid w:val="00C46EB1"/>
    <w:rsid w:val="00C505D6"/>
    <w:rsid w:val="00C532DD"/>
    <w:rsid w:val="00C54338"/>
    <w:rsid w:val="00C54C3F"/>
    <w:rsid w:val="00C567F3"/>
    <w:rsid w:val="00C62C09"/>
    <w:rsid w:val="00C679BC"/>
    <w:rsid w:val="00C7254C"/>
    <w:rsid w:val="00C72BBE"/>
    <w:rsid w:val="00C76AEE"/>
    <w:rsid w:val="00C76CAA"/>
    <w:rsid w:val="00C82235"/>
    <w:rsid w:val="00C82B67"/>
    <w:rsid w:val="00C907F9"/>
    <w:rsid w:val="00C96331"/>
    <w:rsid w:val="00C96A8D"/>
    <w:rsid w:val="00CA074E"/>
    <w:rsid w:val="00CA39B0"/>
    <w:rsid w:val="00CA604C"/>
    <w:rsid w:val="00CA6C67"/>
    <w:rsid w:val="00CA6E41"/>
    <w:rsid w:val="00CB060B"/>
    <w:rsid w:val="00CB0BA2"/>
    <w:rsid w:val="00CB2FD0"/>
    <w:rsid w:val="00CB78BE"/>
    <w:rsid w:val="00CB7BBC"/>
    <w:rsid w:val="00CC09B7"/>
    <w:rsid w:val="00CC540D"/>
    <w:rsid w:val="00CC7FA7"/>
    <w:rsid w:val="00CD1C96"/>
    <w:rsid w:val="00CD2392"/>
    <w:rsid w:val="00CD2927"/>
    <w:rsid w:val="00CD798F"/>
    <w:rsid w:val="00CE0ECF"/>
    <w:rsid w:val="00CE415D"/>
    <w:rsid w:val="00CE4C7E"/>
    <w:rsid w:val="00CE5A9B"/>
    <w:rsid w:val="00CE6886"/>
    <w:rsid w:val="00CE76BB"/>
    <w:rsid w:val="00CF0A50"/>
    <w:rsid w:val="00CF26F6"/>
    <w:rsid w:val="00CF3735"/>
    <w:rsid w:val="00CF37A6"/>
    <w:rsid w:val="00CF51F1"/>
    <w:rsid w:val="00CF64FB"/>
    <w:rsid w:val="00CF732F"/>
    <w:rsid w:val="00D02107"/>
    <w:rsid w:val="00D02AC7"/>
    <w:rsid w:val="00D03074"/>
    <w:rsid w:val="00D14CF6"/>
    <w:rsid w:val="00D14F3D"/>
    <w:rsid w:val="00D27B37"/>
    <w:rsid w:val="00D3495F"/>
    <w:rsid w:val="00D34B19"/>
    <w:rsid w:val="00D35D87"/>
    <w:rsid w:val="00D424AB"/>
    <w:rsid w:val="00D50816"/>
    <w:rsid w:val="00D51BEF"/>
    <w:rsid w:val="00D57046"/>
    <w:rsid w:val="00D57B69"/>
    <w:rsid w:val="00D60193"/>
    <w:rsid w:val="00D60EF1"/>
    <w:rsid w:val="00D72441"/>
    <w:rsid w:val="00D75EE3"/>
    <w:rsid w:val="00D77322"/>
    <w:rsid w:val="00D8035D"/>
    <w:rsid w:val="00D81420"/>
    <w:rsid w:val="00D8380A"/>
    <w:rsid w:val="00D84DAF"/>
    <w:rsid w:val="00D84F38"/>
    <w:rsid w:val="00D8619C"/>
    <w:rsid w:val="00D86AAC"/>
    <w:rsid w:val="00D91ED1"/>
    <w:rsid w:val="00D93504"/>
    <w:rsid w:val="00D95B0D"/>
    <w:rsid w:val="00DB086D"/>
    <w:rsid w:val="00DB350C"/>
    <w:rsid w:val="00DB42F1"/>
    <w:rsid w:val="00DB6C81"/>
    <w:rsid w:val="00DB7DB2"/>
    <w:rsid w:val="00DC381F"/>
    <w:rsid w:val="00DC595D"/>
    <w:rsid w:val="00DD0BFC"/>
    <w:rsid w:val="00DD4B02"/>
    <w:rsid w:val="00DD5F69"/>
    <w:rsid w:val="00DE0195"/>
    <w:rsid w:val="00DE01E6"/>
    <w:rsid w:val="00DE0EB6"/>
    <w:rsid w:val="00DF02D2"/>
    <w:rsid w:val="00DF2417"/>
    <w:rsid w:val="00DF30F7"/>
    <w:rsid w:val="00DF4C3D"/>
    <w:rsid w:val="00DF6407"/>
    <w:rsid w:val="00E0569F"/>
    <w:rsid w:val="00E06117"/>
    <w:rsid w:val="00E21720"/>
    <w:rsid w:val="00E21DD5"/>
    <w:rsid w:val="00E22EA0"/>
    <w:rsid w:val="00E2692C"/>
    <w:rsid w:val="00E301F3"/>
    <w:rsid w:val="00E30818"/>
    <w:rsid w:val="00E33081"/>
    <w:rsid w:val="00E34678"/>
    <w:rsid w:val="00E347E9"/>
    <w:rsid w:val="00E34A96"/>
    <w:rsid w:val="00E42DA3"/>
    <w:rsid w:val="00E4542A"/>
    <w:rsid w:val="00E47159"/>
    <w:rsid w:val="00E506FA"/>
    <w:rsid w:val="00E52051"/>
    <w:rsid w:val="00E56A0E"/>
    <w:rsid w:val="00E63184"/>
    <w:rsid w:val="00E67101"/>
    <w:rsid w:val="00E71209"/>
    <w:rsid w:val="00E7246A"/>
    <w:rsid w:val="00E72DD9"/>
    <w:rsid w:val="00E749C6"/>
    <w:rsid w:val="00E7767D"/>
    <w:rsid w:val="00E81C28"/>
    <w:rsid w:val="00E84DF7"/>
    <w:rsid w:val="00E8642A"/>
    <w:rsid w:val="00E87B78"/>
    <w:rsid w:val="00E87FEB"/>
    <w:rsid w:val="00E9166F"/>
    <w:rsid w:val="00E936F5"/>
    <w:rsid w:val="00E944FD"/>
    <w:rsid w:val="00E9641A"/>
    <w:rsid w:val="00EA0165"/>
    <w:rsid w:val="00EA4D8F"/>
    <w:rsid w:val="00EB5C06"/>
    <w:rsid w:val="00EC05A2"/>
    <w:rsid w:val="00EC16D5"/>
    <w:rsid w:val="00EC2C14"/>
    <w:rsid w:val="00EC6531"/>
    <w:rsid w:val="00ED09A8"/>
    <w:rsid w:val="00ED1476"/>
    <w:rsid w:val="00EE25E9"/>
    <w:rsid w:val="00EE2DAB"/>
    <w:rsid w:val="00EE2FD6"/>
    <w:rsid w:val="00EE630D"/>
    <w:rsid w:val="00EF5EFD"/>
    <w:rsid w:val="00F03C94"/>
    <w:rsid w:val="00F0646C"/>
    <w:rsid w:val="00F065B6"/>
    <w:rsid w:val="00F14F74"/>
    <w:rsid w:val="00F202B1"/>
    <w:rsid w:val="00F22D34"/>
    <w:rsid w:val="00F270EF"/>
    <w:rsid w:val="00F33CD4"/>
    <w:rsid w:val="00F3633A"/>
    <w:rsid w:val="00F36513"/>
    <w:rsid w:val="00F4076A"/>
    <w:rsid w:val="00F44045"/>
    <w:rsid w:val="00F47539"/>
    <w:rsid w:val="00F54E0B"/>
    <w:rsid w:val="00F54F4A"/>
    <w:rsid w:val="00F559CC"/>
    <w:rsid w:val="00F64639"/>
    <w:rsid w:val="00F64653"/>
    <w:rsid w:val="00F732D7"/>
    <w:rsid w:val="00F737EA"/>
    <w:rsid w:val="00F74C9F"/>
    <w:rsid w:val="00F750AE"/>
    <w:rsid w:val="00F752C6"/>
    <w:rsid w:val="00F76775"/>
    <w:rsid w:val="00F84881"/>
    <w:rsid w:val="00F84CE5"/>
    <w:rsid w:val="00F94163"/>
    <w:rsid w:val="00F94D5D"/>
    <w:rsid w:val="00FA2B66"/>
    <w:rsid w:val="00FA42AA"/>
    <w:rsid w:val="00FB0FC0"/>
    <w:rsid w:val="00FB25B2"/>
    <w:rsid w:val="00FB343F"/>
    <w:rsid w:val="00FB51E2"/>
    <w:rsid w:val="00FB7682"/>
    <w:rsid w:val="00FC0966"/>
    <w:rsid w:val="00FC1A19"/>
    <w:rsid w:val="00FC4714"/>
    <w:rsid w:val="00FE7A6C"/>
    <w:rsid w:val="00FF047D"/>
    <w:rsid w:val="00FF178F"/>
    <w:rsid w:val="00FF1C27"/>
    <w:rsid w:val="00FF24C1"/>
    <w:rsid w:val="00FF5225"/>
    <w:rsid w:val="00FF7102"/>
    <w:rsid w:val="00FF76D4"/>
    <w:rsid w:val="02F76F90"/>
    <w:rsid w:val="03C439F6"/>
    <w:rsid w:val="03EA3C77"/>
    <w:rsid w:val="04921BA3"/>
    <w:rsid w:val="097257D0"/>
    <w:rsid w:val="0F7C2CF7"/>
    <w:rsid w:val="158F50D8"/>
    <w:rsid w:val="164551ED"/>
    <w:rsid w:val="187546AA"/>
    <w:rsid w:val="20A025BE"/>
    <w:rsid w:val="227C6712"/>
    <w:rsid w:val="294C0416"/>
    <w:rsid w:val="2B8B7347"/>
    <w:rsid w:val="2C2F22C2"/>
    <w:rsid w:val="2F1D2217"/>
    <w:rsid w:val="2FF03CC6"/>
    <w:rsid w:val="32141201"/>
    <w:rsid w:val="32406EF5"/>
    <w:rsid w:val="33D939C5"/>
    <w:rsid w:val="36C96785"/>
    <w:rsid w:val="37A24C61"/>
    <w:rsid w:val="3D597924"/>
    <w:rsid w:val="3FF0326F"/>
    <w:rsid w:val="41671899"/>
    <w:rsid w:val="47290274"/>
    <w:rsid w:val="4B262470"/>
    <w:rsid w:val="4BFE6267"/>
    <w:rsid w:val="4DF27705"/>
    <w:rsid w:val="50EB46A8"/>
    <w:rsid w:val="53777C15"/>
    <w:rsid w:val="538C4158"/>
    <w:rsid w:val="546B73AB"/>
    <w:rsid w:val="54BC42A2"/>
    <w:rsid w:val="55C13760"/>
    <w:rsid w:val="58820939"/>
    <w:rsid w:val="59CA7788"/>
    <w:rsid w:val="5A04713E"/>
    <w:rsid w:val="5D9B72D3"/>
    <w:rsid w:val="5E7D74BF"/>
    <w:rsid w:val="5E8343A9"/>
    <w:rsid w:val="5F887C34"/>
    <w:rsid w:val="668A0B91"/>
    <w:rsid w:val="6E517B58"/>
    <w:rsid w:val="6EBF5247"/>
    <w:rsid w:val="6F882A48"/>
    <w:rsid w:val="707467CB"/>
    <w:rsid w:val="7BD06A28"/>
    <w:rsid w:val="7C2A0930"/>
    <w:rsid w:val="7EBD093C"/>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link w:val="21"/>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hint="eastAsia" w:ascii="楷体_GB2312" w:hAnsi="宋体"/>
      <w:szCs w:val="28"/>
    </w:rPr>
  </w:style>
  <w:style w:type="paragraph" w:styleId="3">
    <w:name w:val="Body Text Indent"/>
    <w:basedOn w:val="1"/>
    <w:qFormat/>
    <w:uiPriority w:val="0"/>
    <w:pPr>
      <w:spacing w:after="120"/>
      <w:ind w:left="420" w:leftChars="200"/>
    </w:pPr>
  </w:style>
  <w:style w:type="paragraph" w:styleId="6">
    <w:name w:val="Document Map"/>
    <w:basedOn w:val="1"/>
    <w:link w:val="24"/>
    <w:semiHidden/>
    <w:unhideWhenUsed/>
    <w:qFormat/>
    <w:uiPriority w:val="99"/>
    <w:rPr>
      <w:rFonts w:ascii="Microsoft YaHei UI" w:eastAsia="Microsoft YaHei UI"/>
      <w:sz w:val="18"/>
      <w:szCs w:val="18"/>
    </w:rPr>
  </w:style>
  <w:style w:type="paragraph" w:styleId="7">
    <w:name w:val="annotation text"/>
    <w:basedOn w:val="1"/>
    <w:link w:val="27"/>
    <w:semiHidden/>
    <w:unhideWhenUsed/>
    <w:qFormat/>
    <w:uiPriority w:val="99"/>
    <w:pPr>
      <w:jc w:val="left"/>
    </w:pPr>
  </w:style>
  <w:style w:type="paragraph" w:styleId="8">
    <w:name w:val="Plain Text"/>
    <w:basedOn w:val="1"/>
    <w:link w:val="25"/>
    <w:qFormat/>
    <w:uiPriority w:val="99"/>
    <w:rPr>
      <w:rFonts w:ascii="宋体" w:hAnsi="Courier New" w:eastAsia="宋体"/>
      <w:szCs w:val="24"/>
    </w:rPr>
  </w:style>
  <w:style w:type="paragraph" w:styleId="9">
    <w:name w:val="Balloon Text"/>
    <w:basedOn w:val="1"/>
    <w:link w:val="28"/>
    <w:semiHidden/>
    <w:unhideWhenUsed/>
    <w:qFormat/>
    <w:uiPriority w:val="99"/>
    <w:rPr>
      <w:sz w:val="18"/>
      <w:szCs w:val="18"/>
    </w:rPr>
  </w:style>
  <w:style w:type="paragraph" w:styleId="10">
    <w:name w:val="footer"/>
    <w:basedOn w:val="1"/>
    <w:link w:val="19"/>
    <w:unhideWhenUsed/>
    <w:qFormat/>
    <w:uiPriority w:val="99"/>
    <w:pPr>
      <w:tabs>
        <w:tab w:val="center" w:pos="4153"/>
        <w:tab w:val="right" w:pos="8306"/>
      </w:tabs>
      <w:snapToGrid w:val="0"/>
      <w:jc w:val="left"/>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1"/>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paragraph" w:styleId="17">
    <w:name w:val="List Paragraph"/>
    <w:basedOn w:val="1"/>
    <w:link w:val="20"/>
    <w:qFormat/>
    <w:uiPriority w:val="0"/>
    <w:pPr>
      <w:ind w:firstLine="420" w:firstLineChars="200"/>
    </w:pPr>
  </w:style>
  <w:style w:type="character" w:customStyle="1" w:styleId="18">
    <w:name w:val="页眉 字符"/>
    <w:basedOn w:val="15"/>
    <w:link w:val="11"/>
    <w:qFormat/>
    <w:uiPriority w:val="99"/>
    <w:rPr>
      <w:sz w:val="18"/>
      <w:szCs w:val="18"/>
    </w:rPr>
  </w:style>
  <w:style w:type="character" w:customStyle="1" w:styleId="19">
    <w:name w:val="页脚 字符"/>
    <w:basedOn w:val="15"/>
    <w:link w:val="10"/>
    <w:qFormat/>
    <w:uiPriority w:val="99"/>
    <w:rPr>
      <w:sz w:val="18"/>
      <w:szCs w:val="18"/>
    </w:rPr>
  </w:style>
  <w:style w:type="character" w:customStyle="1" w:styleId="20">
    <w:name w:val="列表段落 字符1"/>
    <w:link w:val="17"/>
    <w:qFormat/>
    <w:uiPriority w:val="0"/>
  </w:style>
  <w:style w:type="character" w:customStyle="1" w:styleId="21">
    <w:name w:val="标题 2 字符"/>
    <w:basedOn w:val="15"/>
    <w:link w:val="4"/>
    <w:qFormat/>
    <w:uiPriority w:val="0"/>
    <w:rPr>
      <w:rFonts w:ascii="Arial" w:hAnsi="Arial" w:eastAsia="黑体" w:cs="Times New Roman"/>
      <w:b/>
      <w:bCs/>
      <w:sz w:val="32"/>
      <w:szCs w:val="32"/>
    </w:rPr>
  </w:style>
  <w:style w:type="paragraph" w:customStyle="1" w:styleId="22">
    <w:name w:val="Char Char Char Char Char Char1 Char"/>
    <w:basedOn w:val="6"/>
    <w:qFormat/>
    <w:uiPriority w:val="0"/>
    <w:pPr>
      <w:shd w:val="clear" w:color="auto" w:fill="000080"/>
    </w:pPr>
    <w:rPr>
      <w:rFonts w:ascii="Tahoma" w:hAnsi="Tahoma" w:eastAsia="宋体" w:cs="Times New Roman"/>
      <w:sz w:val="24"/>
      <w:szCs w:val="24"/>
    </w:rPr>
  </w:style>
  <w:style w:type="paragraph" w:customStyle="1" w:styleId="23">
    <w:name w:val="列出段落1"/>
    <w:basedOn w:val="1"/>
    <w:qFormat/>
    <w:uiPriority w:val="0"/>
    <w:pPr>
      <w:ind w:firstLine="420" w:firstLineChars="200"/>
    </w:pPr>
    <w:rPr>
      <w:rFonts w:ascii="Times New Roman" w:hAnsi="Times New Roman" w:eastAsia="宋体" w:cs="Times New Roman"/>
      <w:szCs w:val="24"/>
    </w:rPr>
  </w:style>
  <w:style w:type="character" w:customStyle="1" w:styleId="24">
    <w:name w:val="文档结构图 字符"/>
    <w:basedOn w:val="15"/>
    <w:link w:val="6"/>
    <w:semiHidden/>
    <w:qFormat/>
    <w:uiPriority w:val="99"/>
    <w:rPr>
      <w:rFonts w:ascii="Microsoft YaHei UI" w:eastAsia="Microsoft YaHei UI"/>
      <w:sz w:val="18"/>
      <w:szCs w:val="18"/>
    </w:rPr>
  </w:style>
  <w:style w:type="character" w:customStyle="1" w:styleId="25">
    <w:name w:val="纯文本 字符"/>
    <w:link w:val="8"/>
    <w:qFormat/>
    <w:uiPriority w:val="99"/>
    <w:rPr>
      <w:rFonts w:ascii="宋体" w:hAnsi="Courier New" w:eastAsia="宋体"/>
      <w:szCs w:val="24"/>
    </w:rPr>
  </w:style>
  <w:style w:type="character" w:customStyle="1" w:styleId="26">
    <w:name w:val="纯文本 Char1"/>
    <w:basedOn w:val="15"/>
    <w:semiHidden/>
    <w:qFormat/>
    <w:uiPriority w:val="99"/>
    <w:rPr>
      <w:rFonts w:ascii="宋体" w:hAnsi="Courier New" w:eastAsia="宋体" w:cs="Courier New"/>
      <w:szCs w:val="21"/>
    </w:rPr>
  </w:style>
  <w:style w:type="character" w:customStyle="1" w:styleId="27">
    <w:name w:val="批注文字 字符"/>
    <w:basedOn w:val="15"/>
    <w:link w:val="7"/>
    <w:semiHidden/>
    <w:qFormat/>
    <w:uiPriority w:val="99"/>
  </w:style>
  <w:style w:type="character" w:customStyle="1" w:styleId="28">
    <w:name w:val="批注框文本 字符"/>
    <w:basedOn w:val="15"/>
    <w:link w:val="9"/>
    <w:semiHidden/>
    <w:qFormat/>
    <w:uiPriority w:val="99"/>
    <w:rPr>
      <w:sz w:val="18"/>
      <w:szCs w:val="18"/>
    </w:rPr>
  </w:style>
  <w:style w:type="paragraph" w:customStyle="1" w:styleId="29">
    <w:name w:val="列出段落2"/>
    <w:basedOn w:val="1"/>
    <w:link w:val="30"/>
    <w:qFormat/>
    <w:uiPriority w:val="34"/>
    <w:pPr>
      <w:ind w:firstLine="420" w:firstLineChars="200"/>
    </w:pPr>
    <w:rPr>
      <w:rFonts w:ascii="Calibri" w:hAnsi="Calibri" w:eastAsia="宋体" w:cs="Times New Roman"/>
    </w:rPr>
  </w:style>
  <w:style w:type="character" w:customStyle="1" w:styleId="30">
    <w:name w:val="列表段落 字符"/>
    <w:link w:val="29"/>
    <w:qFormat/>
    <w:uiPriority w:val="34"/>
    <w:rPr>
      <w:rFonts w:ascii="Calibri" w:hAnsi="Calibri" w:eastAsia="宋体" w:cs="Times New Roman"/>
    </w:rPr>
  </w:style>
  <w:style w:type="character" w:customStyle="1" w:styleId="31">
    <w:name w:val="批注主题 字符"/>
    <w:basedOn w:val="27"/>
    <w:link w:val="12"/>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EB9A8-0186-4FF0-8791-D54EA4B1179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12147</Words>
  <Characters>13273</Characters>
  <Lines>99</Lines>
  <Paragraphs>27</Paragraphs>
  <TotalTime>4</TotalTime>
  <ScaleCrop>false</ScaleCrop>
  <LinksUpToDate>false</LinksUpToDate>
  <CharactersWithSpaces>13617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2025-06-26T11:37:00Z</dcterms:created>
  <dc:creator>Administrator</dc:creator>
  <cp:lastModifiedBy>つ微凉徒眸意浅挚半</cp:lastModifiedBy>
  <cp:lastPrinted>2020-03-24T11:36:00Z</cp:lastPrinted>
  <dcterms:modified xsi:type="dcterms:W3CDTF">2025-09-26T02:27:24Z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eyJoZGlkIjoiMjljYzU0YzY0MTQxMGI0NTVhMmNiOGZiYjQ5MjU5NzIiLCJ1c2VySWQiOiI0MTgzODQyMTEifQ==</vt:lpwstr>
  </property>
  <property fmtid="{D5CDD505-2E9C-101B-9397-08002B2CF9AE}" pid="4" name="ICV">
    <vt:lpwstr>24B3E23E01754A36894AB38BCE93B79A_13</vt:lpwstr>
  </property>
</Properties>
</file>