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策克口岸庆华街东段绿化养护工程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阿拉善盟额济纳旗策克镇（内蒙古策克口岸经济开发区）经济发展和建设办公室（经济发展局）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内蒙古嘉澜技术服务有限公司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CKKAS-G-F-250001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内蒙古嘉澜技术服务有限公司</w:t>
      </w:r>
      <w:r>
        <w:rPr>
          <w:rFonts w:ascii="仿宋_GB2312" w:hAnsi="仿宋_GB2312" w:cs="仿宋_GB2312" w:eastAsia="仿宋_GB2312"/>
        </w:rPr>
        <w:t xml:space="preserve"> 受 </w:t>
      </w:r>
      <w:r>
        <w:rPr>
          <w:rFonts w:ascii="仿宋_GB2312" w:hAnsi="仿宋_GB2312" w:cs="仿宋_GB2312" w:eastAsia="仿宋_GB2312"/>
        </w:rPr>
        <w:t>阿拉善盟额济纳旗策克镇（内蒙古策克口岸经济开发区）经济发展和建设办公室（经济发展局）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策克口岸庆华街东段绿化养护工程</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策克口岸庆华街东段绿化养护工程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CKKAS-G-F-250001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策政采计划[2025]00009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4,039,075.00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策克口岸庆华街东段绿化养护工程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4,039,075.00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1、项目负责人：拟派项目负责人具有园林绿化工程相关专业中级或以上职称且为本企业在职人员，提供该人员2024年1月至今在本企 业缴纳的任意连续3个月的社保证明，退休人员需提供退休证明。</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内蒙古嘉澜技术服务有限公司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阿拉善左旗东方瑞景小区1-3号商铺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750306</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黄伟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18804835051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阿拉善盟额济纳旗策克镇（内蒙古策克口岸经济开发区）经济发展和建设办公室（经济发展局）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阿拉善盟策克口岸经济开发区大数据中心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735400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赵海龙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15704838883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代理服务费收费标准：代理服务费参照相关收费标准，实行市场调节，按中标金额的1.5%计取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阿拉善盟额济纳旗策克镇（内蒙古策克口岸经济开发区）经济发展和建设办公室（经济发展局）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内蒙古嘉澜技术服务有限公司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注：供应商在投标(响应)时，按照规定提供《阿拉善盟政府采购供应商信用承诺函》,无需再提交该项证明材料，承诺函详见采购公告附件。同时，采购人有权在签订合同前要求中标供应商提供该项证明材料以核实中标供应商承诺事项的真实性。 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注：供应商在投标(响应)时，按照规定提供《阿拉善盟政府采购供应商信用承诺函》,无需再提交该项证明材料，承诺函详见采购公告附件。同时，采购人有权在签订合同前要求中标供应商提供该项证明材料以核实中标供应商承诺事项的真实性。 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注：供应商在投标(响应)时，按照规定提供《阿拉善盟政府采购供应商信用承诺函》,无需再提交该项证明材料，承诺函详见采购公告附件。同时，采购人有权在签订合同前要求中标供应商提供该项证明材料以核实中标供应商承诺事项的真实性。 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注：供应商在投标(响应)时，按照规定提供《阿拉善盟政府采购供应商信用承诺函》,无需再提交该项证明材料，承诺函详见采购公告附件。同时，采购人有权在签订合同前要求中标供应商提供该项证明材料以核实中标供应商承诺事项的真实性。 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注：供应商在投标(响应)时，按照规定提供《阿拉善盟政府采购供应商信用承诺函》,无需再提交该项证明材料，承诺函详见采购公告附件。同时，采购人有权在签订合同前要求中标供应商提供该项证明材料以核实中标供应商承诺事项的真实性。 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拟派项目负责人具有园林绿化工程相关专业中级或以上职称且为本企业在职人员，提供该人员2024年1月至今在本企 业缴纳的任意连续3个月的社保证明，退休人员需提供退休证明。</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新华街(乌斯太路-额济纳路)，安德泰路(新华街-文化街)，报关楼西侧，蒙医院周边，法院周边，幼儿园周边，体育场周边绿化养护。</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养护期2年，具体以甲乙双方签订时间为准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策克口岸</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1、按养护期支付，第一年支付50%，达到付款条件起30日，支付合同总金额的50.00%</w:t>
            </w:r>
          </w:p>
          <w:p>
            <w:pPr>
              <w:pStyle w:val="null5"/>
              <w:jc w:val="left"/>
            </w:pPr>
            <w:r>
              <w:rPr>
                <w:rFonts w:ascii="仿宋_GB2312" w:hAnsi="仿宋_GB2312" w:cs="仿宋_GB2312" w:eastAsia="仿宋_GB2312"/>
              </w:rPr>
              <w:t>2、按养护期支付，第二年支付50%，达到付款条件起30日，支付合同总金额的50.00%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标的名称：策克口岸庆华街东段绿化养护工程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一、管理标准:达到绿化管养二级标准</w:t>
            </w:r>
            <w:r>
              <w:br/>
            </w:r>
            <w:r>
              <w:rPr>
                <w:rFonts w:ascii="仿宋_GB2312" w:hAnsi="仿宋_GB2312" w:cs="仿宋_GB2312" w:eastAsia="仿宋_GB2312"/>
              </w:rPr>
              <w:t xml:space="preserve"> 1、树木生长旺盛，生长势达到该树种该规格平均年生长量、树形自然、修剪及时，无树挂，树木存活率达90%以上。</w:t>
            </w:r>
            <w:r>
              <w:br/>
            </w:r>
            <w:r>
              <w:rPr>
                <w:rFonts w:ascii="仿宋_GB2312" w:hAnsi="仿宋_GB2312" w:cs="仿宋_GB2312" w:eastAsia="仿宋_GB2312"/>
              </w:rPr>
              <w:t xml:space="preserve"> 2、及时做好病虫害防治工作，根据预防为主、综合防治的原则，早发现早处理，病虫害危害程度控制在5%以下。严禁使用国家明令禁止的剧毒、高毒高残留农药店，提倡使用生物农药。</w:t>
            </w:r>
            <w:r>
              <w:br/>
            </w:r>
            <w:r>
              <w:rPr>
                <w:rFonts w:ascii="仿宋_GB2312" w:hAnsi="仿宋_GB2312" w:cs="仿宋_GB2312" w:eastAsia="仿宋_GB2312"/>
              </w:rPr>
              <w:t xml:space="preserve"> 3、基本无缺株、无枯枝、断枝、死株，如发现及时清理、拔除死苗、春秋两季补植缺株。品种和规格应与原来品种、规格一致。</w:t>
            </w:r>
            <w:r>
              <w:br/>
            </w:r>
            <w:r>
              <w:rPr>
                <w:rFonts w:ascii="仿宋_GB2312" w:hAnsi="仿宋_GB2312" w:cs="仿宋_GB2312" w:eastAsia="仿宋_GB2312"/>
              </w:rPr>
              <w:t xml:space="preserve"> 4、树穴及绿地内无杂草、垃圾、杂物，树穴大小为植株地径的5倍，要求边缘线整齐。</w:t>
            </w:r>
            <w:r>
              <w:br/>
            </w:r>
            <w:r>
              <w:rPr>
                <w:rFonts w:ascii="仿宋_GB2312" w:hAnsi="仿宋_GB2312" w:cs="仿宋_GB2312" w:eastAsia="仿宋_GB2312"/>
              </w:rPr>
              <w:t xml:space="preserve"> 5、根据树木生长周期、气候变化合理安排浇灌和施肥次数。化学肥料和有机肥料应交替使用以防止士壤板结和肥力衰退。</w:t>
            </w:r>
            <w:r>
              <w:br/>
            </w:r>
            <w:r>
              <w:rPr>
                <w:rFonts w:ascii="仿宋_GB2312" w:hAnsi="仿宋_GB2312" w:cs="仿宋_GB2312" w:eastAsia="仿宋_GB2312"/>
              </w:rPr>
              <w:t xml:space="preserve"> 6、每年冬季需进行一次树木防冻作业，进行树干刷白作业的，刷白高度根据苗太品种，区域保持高度一致，高度根据苗木特性确定。刷白应均匀细致，树皮的裂隙应全部粉刷，粉刷材料不得滴溅到路面或树穴内地被植物。</w:t>
            </w:r>
            <w:r>
              <w:br/>
            </w:r>
            <w:r>
              <w:rPr>
                <w:rFonts w:ascii="仿宋_GB2312" w:hAnsi="仿宋_GB2312" w:cs="仿宋_GB2312" w:eastAsia="仿宋_GB2312"/>
              </w:rPr>
              <w:t xml:space="preserve"> 7、必须做好大风季节来临的的防风工作，合理修剪，加固护树架，以增强抵御大风的能力。大风期间应迅速清理倒树断枝，疏通道路。大风后及时扶正倾斜树，清除断枝、落叶和垃圾，使绿化景观尽快恢复。</w:t>
            </w:r>
          </w:p>
          <w:p>
            <w:pPr>
              <w:pStyle w:val="null5"/>
              <w:jc w:val="left"/>
            </w:pPr>
            <w:r>
              <w:rPr>
                <w:rFonts w:ascii="仿宋_GB2312" w:hAnsi="仿宋_GB2312" w:cs="仿宋_GB2312" w:eastAsia="仿宋_GB2312"/>
              </w:rPr>
              <w:t>二、作业要求</w:t>
            </w:r>
            <w:r>
              <w:br/>
            </w:r>
            <w:r>
              <w:rPr>
                <w:rFonts w:ascii="仿宋_GB2312" w:hAnsi="仿宋_GB2312" w:cs="仿宋_GB2312" w:eastAsia="仿宋_GB2312"/>
              </w:rPr>
              <w:t xml:space="preserve"> 1、修剪：行道树每年修剪、抹芽一次以上，平时及时清理死树枝及下垂枝。</w:t>
            </w:r>
            <w:r>
              <w:br/>
            </w:r>
            <w:r>
              <w:rPr>
                <w:rFonts w:ascii="仿宋_GB2312" w:hAnsi="仿宋_GB2312" w:cs="仿宋_GB2312" w:eastAsia="仿宋_GB2312"/>
              </w:rPr>
              <w:t xml:space="preserve"> 2、病虫害防治：病虫害控制在5%以下，无药害。</w:t>
            </w:r>
            <w:r>
              <w:br/>
            </w:r>
            <w:r>
              <w:rPr>
                <w:rFonts w:ascii="仿宋_GB2312" w:hAnsi="仿宋_GB2312" w:cs="仿宋_GB2312" w:eastAsia="仿宋_GB2312"/>
              </w:rPr>
              <w:t xml:space="preserve"> 3、及时清理树挂、杂物及修剪、抹芽等施工时遗留的垃圾（树枝、枝叶等）做到随产随清。</w:t>
            </w:r>
            <w:r>
              <w:br/>
            </w:r>
            <w:r>
              <w:rPr>
                <w:rFonts w:ascii="仿宋_GB2312" w:hAnsi="仿宋_GB2312" w:cs="仿宋_GB2312" w:eastAsia="仿宋_GB2312"/>
              </w:rPr>
              <w:t xml:space="preserve"> 4、工作人员要树立责任心爱护树木，及时制止损坏树木破坏绿化设施的行为，严厉杜绝在绿地范围内种植农作物的行为。</w:t>
            </w:r>
            <w:r>
              <w:br/>
            </w:r>
            <w:r>
              <w:rPr>
                <w:rFonts w:ascii="仿宋_GB2312" w:hAnsi="仿宋_GB2312" w:cs="仿宋_GB2312" w:eastAsia="仿宋_GB2312"/>
              </w:rPr>
              <w:t xml:space="preserve"> 5、工作人员定人、定岗、定职责，人员相对固定。</w:t>
            </w:r>
            <w:r>
              <w:br/>
            </w:r>
            <w:r>
              <w:rPr>
                <w:rFonts w:ascii="仿宋_GB2312" w:hAnsi="仿宋_GB2312" w:cs="仿宋_GB2312" w:eastAsia="仿宋_GB2312"/>
              </w:rPr>
              <w:t xml:space="preserve"> 6、安全文明作业，严格遵守安全操作规程，做好自身和行人保护。必须穿戴安全帽，设立安全警示标志。</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绿化养护方案</w:t>
            </w:r>
          </w:p>
        </w:tc>
        <w:tc>
          <w:tcPr>
            <w:tcW w:type="dxa" w:w="3115"/>
          </w:tcPr>
          <w:p>
            <w:pPr>
              <w:pStyle w:val="null5"/>
              <w:jc w:val="left"/>
            </w:pPr>
            <w:r>
              <w:rPr>
                <w:rFonts w:ascii="仿宋_GB2312" w:hAnsi="仿宋_GB2312" w:cs="仿宋_GB2312" w:eastAsia="仿宋_GB2312"/>
              </w:rPr>
              <w:t>根据供应商针对本项目提供的整体绿化养护实施服务方案进行评审，方案完整详细、全面、科学、合理、适用性强、针对性程度高得10分，方案完整、科学、合理、适用性可行、针对性程度可行得6分，方案适用性一般、针对性程度一般得2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项目应急措施</w:t>
            </w:r>
          </w:p>
        </w:tc>
        <w:tc>
          <w:tcPr>
            <w:tcW w:type="dxa" w:w="3115"/>
          </w:tcPr>
          <w:p>
            <w:pPr>
              <w:pStyle w:val="null5"/>
              <w:jc w:val="left"/>
            </w:pPr>
            <w:r>
              <w:rPr>
                <w:rFonts w:ascii="仿宋_GB2312" w:hAnsi="仿宋_GB2312" w:cs="仿宋_GB2312" w:eastAsia="仿宋_GB2312"/>
              </w:rPr>
              <w:t>供应商提供的应急保障措施（包含但不限于安全事故应急保障方案、绿化养护应急保障方案）完整详细、全面、科学、合理、适用性强、针对性程度高等情况，综合评审：应急保障措施完整详细、全面、 科学、合理、适用性强、针对性程度高得8分；应急保障措施比较完整、详细、比较科学、合理得4分；应急保障措施一般详细、合理得2分；无表述不得分。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针对本项目的提供良好的内部管理制度以及工人安全保障制度，确保施工安全，供应商提供的人员管理方案（包含但不限于内部管理制度、工人安全保障制度、人员安置措施方案等）完整详细、全面、科学、合理、适用性强、针对性程度高等情况进行综合评审：1、整体方案完整详细、全面、科学、合理 、适用性强、针对性程度高得8分；2、整体方案比较完整、详细、 比较科学、合理得5分；3、整体方案一般详细、合理得2分；不提供不得分。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供应商环境保护管理体系及管理措施到位情况进行综合评审：内容完善、合理，措施科学得6分；内容比较完善、合理，措施比较科学得4分；内容不够完善、合理，措施不够科学得2分；无相关描述不得分。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质量控制和保证措施</w:t>
            </w:r>
          </w:p>
        </w:tc>
        <w:tc>
          <w:tcPr>
            <w:tcW w:type="dxa" w:w="3115"/>
          </w:tcPr>
          <w:p>
            <w:pPr>
              <w:pStyle w:val="null5"/>
              <w:jc w:val="left"/>
            </w:pPr>
            <w:r>
              <w:rPr>
                <w:rFonts w:ascii="仿宋_GB2312" w:hAnsi="仿宋_GB2312" w:cs="仿宋_GB2312" w:eastAsia="仿宋_GB2312"/>
              </w:rPr>
              <w:t>质量控制和保证措施可行，针对项目实际提出先进、可行、具体的保证措施的得6分；质量控制和保证措施可行，针对项目实际提出可行的保证措施的得4分；质量控制和保证措施一般，表述不全面得2分；无表述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确保树木成活率方案</w:t>
            </w:r>
          </w:p>
        </w:tc>
        <w:tc>
          <w:tcPr>
            <w:tcW w:type="dxa" w:w="3115"/>
          </w:tcPr>
          <w:p>
            <w:pPr>
              <w:pStyle w:val="null5"/>
              <w:jc w:val="left"/>
            </w:pPr>
            <w:r>
              <w:rPr>
                <w:rFonts w:ascii="仿宋_GB2312" w:hAnsi="仿宋_GB2312" w:cs="仿宋_GB2312" w:eastAsia="仿宋_GB2312"/>
              </w:rPr>
              <w:t>确保树木成活率且措施可行有效的得8分，确保树木养护及成活率技术方案比较完善的得5分；确保树木养护及成活率技术方案一般得2分；无表述不得分。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绿色施工方案</w:t>
            </w:r>
          </w:p>
        </w:tc>
        <w:tc>
          <w:tcPr>
            <w:tcW w:type="dxa" w:w="3115"/>
          </w:tcPr>
          <w:p>
            <w:pPr>
              <w:pStyle w:val="null5"/>
              <w:jc w:val="left"/>
            </w:pPr>
            <w:r>
              <w:rPr>
                <w:rFonts w:ascii="仿宋_GB2312" w:hAnsi="仿宋_GB2312" w:cs="仿宋_GB2312" w:eastAsia="仿宋_GB2312"/>
              </w:rPr>
              <w:t>保证绿色施工，通过科学管理和技术进步，最大限度地节约资源与减少对环境负面影响的施工活动，实现四节一环保（节能、节地、节水、节材和环境保护）的得4分，无表述不得分。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总进度计划方案</w:t>
            </w:r>
          </w:p>
        </w:tc>
        <w:tc>
          <w:tcPr>
            <w:tcW w:type="dxa" w:w="3115"/>
          </w:tcPr>
          <w:p>
            <w:pPr>
              <w:pStyle w:val="null5"/>
              <w:jc w:val="left"/>
            </w:pPr>
            <w:r>
              <w:rPr>
                <w:rFonts w:ascii="仿宋_GB2312" w:hAnsi="仿宋_GB2312" w:cs="仿宋_GB2312" w:eastAsia="仿宋_GB2312"/>
              </w:rPr>
              <w:t>总进度计划逻辑性强、可行、合理，保证措施明确、具体，养护期满足采购文件要求的得5分；施工总进度计划比较完善，养护期满足采购文件要求的得3分；施工总进度计划表述一般，养护期基本满足采购文件要求的得1分；无表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供应商近三年（2022年至投标截止前一日）有类似项目业绩经验的，每有提供一项得2分，本项最高得10分。（同时提供合同和中标通知书扫描件，所附证明文件需清晰可见）</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项目管理人员具有园林绿化工程相关专业中级或以上职称且为本企业在职人员的，每有1人得1.5分，本项最高得3分。（需提供人员证书扫描件及该人员2024年1月至今在本企业缴纳的任意连续3个月的社保证明，退休人员需提供退休证明）</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技术人员</w:t>
            </w:r>
          </w:p>
        </w:tc>
        <w:tc>
          <w:tcPr>
            <w:tcW w:type="dxa" w:w="3115"/>
          </w:tcPr>
          <w:p>
            <w:pPr>
              <w:pStyle w:val="null5"/>
              <w:jc w:val="left"/>
            </w:pPr>
            <w:r>
              <w:rPr>
                <w:rFonts w:ascii="仿宋_GB2312" w:hAnsi="仿宋_GB2312" w:cs="仿宋_GB2312" w:eastAsia="仿宋_GB2312"/>
              </w:rPr>
              <w:t>拟投入的技术工人有花卉工、园林工、绿化工等相关专业证书且为本企业在职人员的，每有1人得1分，本项最高得2分。（需提供人员证书扫描件及该人员2024年1月至今在本企业缴纳的任意连续3个月的社保证明，退休人员需提供退休证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