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X756升级改造工程勘察设计(二次)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阿拉善盟乌兰布和生态沙产业示范区能源和交通局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内蒙古鑫纬建设工程项目管理有限责任公司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WLBHZCS-C-F-250002-1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内蒙古鑫纬建设工程项目管理有限责任公司</w:t>
      </w:r>
      <w:r>
        <w:rPr>
          <w:rFonts w:ascii="仿宋_GB2312" w:hAnsi="仿宋_GB2312" w:cs="仿宋_GB2312" w:eastAsia="仿宋_GB2312"/>
        </w:rPr>
        <w:t xml:space="preserve"> 受 </w:t>
      </w:r>
      <w:r>
        <w:rPr>
          <w:rFonts w:ascii="仿宋_GB2312" w:hAnsi="仿宋_GB2312" w:cs="仿宋_GB2312" w:eastAsia="仿宋_GB2312"/>
        </w:rPr>
        <w:t>阿拉善盟乌兰布和生态沙产业示范区能源和交通局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X756升级改造工程勘察设计(二次)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X756升级改造工程勘察设计(二次)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WLBHZCS-C-F-250002-1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X756升级改造工程勘察设计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1,060,000.00</w:t>
            </w:r>
          </w:p>
        </w:tc>
        <w:tc>
          <w:tcPr>
            <w:tcW w:type="dxa" w:w="831"/>
          </w:tcPr>
          <w:p>
            <w:pPr>
              <w:pStyle w:val="null5"/>
              <w:jc w:val="left"/>
            </w:pPr>
            <w:r>
              <w:rPr>
                <w:rFonts w:ascii="仿宋_GB2312" w:hAnsi="仿宋_GB2312" w:cs="仿宋_GB2312" w:eastAsia="仿宋_GB2312"/>
              </w:rPr>
              <w:t>元</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1、资质等级：①具有住房和城乡建设主管部门颁发的工程勘察综合甲级资质或工程勘察（工程测量）乙级及以上资质； ②具有住房和城乡建设行政主管部门颁发的工程设计综合甲级资质或公路行业（公路专业）设计乙级及以上资质；</w:t>
      </w:r>
    </w:p>
    <w:p>
      <w:pPr>
        <w:pStyle w:val="null5"/>
        <w:jc w:val="left"/>
      </w:pPr>
      <w:r>
        <w:rPr>
          <w:rFonts w:ascii="仿宋_GB2312" w:hAnsi="仿宋_GB2312" w:cs="仿宋_GB2312" w:eastAsia="仿宋_GB2312"/>
        </w:rPr>
        <w:t>2、人员要求：项目负责人1名具有公路工程相关专业中级工程师及以上职称（以职称证书为准）； 勘察负责人1名具有公路工程相关专业中级工程师及以上职称（以职称证书为准）； 设计负责人1名具有公路工程相关专业中级工程师及以上职称（以职称证书为准）；</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内蒙古鑫纬建设工程项目管理有限责任公司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内蒙古自治区呼和浩特市新城区东二环兴泰商务广场T4栋写字楼7楼706、707室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王永强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18147144748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阿拉善盟乌兰布和生态沙产业示范区能源和交通局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阿拉善盟乌兰布和生态沙产业示范区能源和交通局</w:t>
      </w:r>
    </w:p>
    <w:p>
      <w:pPr>
        <w:pStyle w:val="null5"/>
      </w:pPr>
      <w:r>
        <w:rPr>
          <w:rFonts w:ascii="仿宋_GB2312" w:hAnsi="仿宋_GB2312" w:cs="仿宋_GB2312" w:eastAsia="仿宋_GB2312"/>
        </w:rPr>
        <w:t xml:space="preserve"> 邮编： </w:t>
      </w:r>
      <w:r>
        <w:rPr>
          <w:rFonts w:ascii="仿宋_GB2312" w:hAnsi="仿宋_GB2312" w:cs="仿宋_GB2312" w:eastAsia="仿宋_GB2312"/>
        </w:rPr>
        <w:t>750336</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孔钊琦</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13614831668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代理服务费收费标准：参照内蒙古自治区工程建设协会《内蒙古自治区建设工程招标代理服务收费指导意见》内工建协﹝2022﹞34号规定</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阿拉善盟乌兰布和生态沙产业示范区能源和交通局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内蒙古鑫纬建设工程项目管理有限责任公司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本次升级改造对路基局部病害处理后完全利用现有路基拼宽，其中K0+000～K2+040（长2040米）段、K6+980～K7+575（长595米）段路基拼宽方式采用两侧加宽，K2+040～K6+980（长4940米）段路基拼宽方式采用单侧加宽。 主要采取城镇化地区双向四车道二级公路标准建设，设计速度80/公里每小时，路基宽度24米，沥青混凝土路面，涵桥设计汽车荷载等级为公路-Ⅰ级，路基、大、中、小桥和涵洞均涉及洪水频率为1/50。</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2025年3月至2025年11月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1、签订合同后，达到付款条件起20日，支付合同总金额的10.00%</w:t>
            </w:r>
          </w:p>
          <w:p>
            <w:pPr>
              <w:pStyle w:val="null5"/>
              <w:jc w:val="left"/>
            </w:pPr>
            <w:r>
              <w:rPr>
                <w:rFonts w:ascii="仿宋_GB2312" w:hAnsi="仿宋_GB2312" w:cs="仿宋_GB2312" w:eastAsia="仿宋_GB2312"/>
              </w:rPr>
              <w:t>2、初步设计文件按期完成后并送至采购人处，经采购人或上级主管部门审查、修改批准后，达到付款条件起20日，支付合同总金额的20.00%</w:t>
            </w:r>
          </w:p>
          <w:p>
            <w:pPr>
              <w:pStyle w:val="null5"/>
              <w:jc w:val="left"/>
            </w:pPr>
            <w:r>
              <w:rPr>
                <w:rFonts w:ascii="仿宋_GB2312" w:hAnsi="仿宋_GB2312" w:cs="仿宋_GB2312" w:eastAsia="仿宋_GB2312"/>
              </w:rPr>
              <w:t>3、全部工程施工图设计文件（含工程变更设计文件）均按期完成并送至采购人处，经采购人或上级主管部门审查、修改批准后，达到付款条件起20日，支付合同总金额的60.00%</w:t>
            </w:r>
          </w:p>
          <w:p>
            <w:pPr>
              <w:pStyle w:val="null5"/>
              <w:jc w:val="left"/>
            </w:pPr>
            <w:r>
              <w:rPr>
                <w:rFonts w:ascii="仿宋_GB2312" w:hAnsi="仿宋_GB2312" w:cs="仿宋_GB2312" w:eastAsia="仿宋_GB2312"/>
              </w:rPr>
              <w:t>4、工程竣工验收后，达到付款条件起20日，支付合同总金额的10.00%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标的名称：X756升级改造工程勘察设计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本次升级改造对路基局部病害处理后完全利用现有路基拼宽，其中</w:t>
            </w:r>
            <w:r>
              <w:rPr>
                <w:rFonts w:ascii="仿宋_GB2312" w:hAnsi="仿宋_GB2312" w:cs="仿宋_GB2312" w:eastAsia="仿宋_GB2312"/>
                <w:sz w:val="21"/>
              </w:rPr>
              <w:t>K0+000</w:t>
            </w:r>
            <w:r>
              <w:rPr>
                <w:rFonts w:ascii="仿宋_GB2312" w:hAnsi="仿宋_GB2312" w:cs="仿宋_GB2312" w:eastAsia="仿宋_GB2312"/>
                <w:sz w:val="21"/>
              </w:rPr>
              <w:t>～</w:t>
            </w:r>
            <w:r>
              <w:rPr>
                <w:rFonts w:ascii="仿宋_GB2312" w:hAnsi="仿宋_GB2312" w:cs="仿宋_GB2312" w:eastAsia="仿宋_GB2312"/>
                <w:sz w:val="21"/>
              </w:rPr>
              <w:t>K2+040</w:t>
            </w:r>
            <w:r>
              <w:rPr>
                <w:rFonts w:ascii="仿宋_GB2312" w:hAnsi="仿宋_GB2312" w:cs="仿宋_GB2312" w:eastAsia="仿宋_GB2312"/>
                <w:sz w:val="21"/>
              </w:rPr>
              <w:t>（长</w:t>
            </w:r>
            <w:r>
              <w:rPr>
                <w:rFonts w:ascii="仿宋_GB2312" w:hAnsi="仿宋_GB2312" w:cs="仿宋_GB2312" w:eastAsia="仿宋_GB2312"/>
                <w:sz w:val="21"/>
              </w:rPr>
              <w:t>2040</w:t>
            </w:r>
            <w:r>
              <w:rPr>
                <w:rFonts w:ascii="仿宋_GB2312" w:hAnsi="仿宋_GB2312" w:cs="仿宋_GB2312" w:eastAsia="仿宋_GB2312"/>
                <w:sz w:val="21"/>
              </w:rPr>
              <w:t>米）段、</w:t>
            </w:r>
            <w:r>
              <w:rPr>
                <w:rFonts w:ascii="仿宋_GB2312" w:hAnsi="仿宋_GB2312" w:cs="仿宋_GB2312" w:eastAsia="仿宋_GB2312"/>
                <w:sz w:val="21"/>
              </w:rPr>
              <w:t>K6+980</w:t>
            </w:r>
            <w:r>
              <w:rPr>
                <w:rFonts w:ascii="仿宋_GB2312" w:hAnsi="仿宋_GB2312" w:cs="仿宋_GB2312" w:eastAsia="仿宋_GB2312"/>
                <w:sz w:val="21"/>
              </w:rPr>
              <w:t>～</w:t>
            </w:r>
            <w:r>
              <w:rPr>
                <w:rFonts w:ascii="仿宋_GB2312" w:hAnsi="仿宋_GB2312" w:cs="仿宋_GB2312" w:eastAsia="仿宋_GB2312"/>
                <w:sz w:val="21"/>
              </w:rPr>
              <w:t>K7+575</w:t>
            </w:r>
            <w:r>
              <w:rPr>
                <w:rFonts w:ascii="仿宋_GB2312" w:hAnsi="仿宋_GB2312" w:cs="仿宋_GB2312" w:eastAsia="仿宋_GB2312"/>
                <w:sz w:val="21"/>
              </w:rPr>
              <w:t>（长</w:t>
            </w:r>
            <w:r>
              <w:rPr>
                <w:rFonts w:ascii="仿宋_GB2312" w:hAnsi="仿宋_GB2312" w:cs="仿宋_GB2312" w:eastAsia="仿宋_GB2312"/>
                <w:sz w:val="21"/>
              </w:rPr>
              <w:t>595</w:t>
            </w:r>
            <w:r>
              <w:rPr>
                <w:rFonts w:ascii="仿宋_GB2312" w:hAnsi="仿宋_GB2312" w:cs="仿宋_GB2312" w:eastAsia="仿宋_GB2312"/>
                <w:sz w:val="21"/>
              </w:rPr>
              <w:t>米）段路基拼宽方式采用两侧加宽，</w:t>
            </w:r>
            <w:r>
              <w:rPr>
                <w:rFonts w:ascii="仿宋_GB2312" w:hAnsi="仿宋_GB2312" w:cs="仿宋_GB2312" w:eastAsia="仿宋_GB2312"/>
                <w:sz w:val="21"/>
              </w:rPr>
              <w:t>K2+040</w:t>
            </w:r>
            <w:r>
              <w:rPr>
                <w:rFonts w:ascii="仿宋_GB2312" w:hAnsi="仿宋_GB2312" w:cs="仿宋_GB2312" w:eastAsia="仿宋_GB2312"/>
                <w:sz w:val="21"/>
              </w:rPr>
              <w:t>～</w:t>
            </w:r>
            <w:r>
              <w:rPr>
                <w:rFonts w:ascii="仿宋_GB2312" w:hAnsi="仿宋_GB2312" w:cs="仿宋_GB2312" w:eastAsia="仿宋_GB2312"/>
                <w:sz w:val="21"/>
              </w:rPr>
              <w:t>K6+980</w:t>
            </w:r>
            <w:r>
              <w:rPr>
                <w:rFonts w:ascii="仿宋_GB2312" w:hAnsi="仿宋_GB2312" w:cs="仿宋_GB2312" w:eastAsia="仿宋_GB2312"/>
                <w:sz w:val="21"/>
              </w:rPr>
              <w:t>（长</w:t>
            </w:r>
            <w:r>
              <w:rPr>
                <w:rFonts w:ascii="仿宋_GB2312" w:hAnsi="仿宋_GB2312" w:cs="仿宋_GB2312" w:eastAsia="仿宋_GB2312"/>
                <w:sz w:val="21"/>
              </w:rPr>
              <w:t>4940</w:t>
            </w:r>
            <w:r>
              <w:rPr>
                <w:rFonts w:ascii="仿宋_GB2312" w:hAnsi="仿宋_GB2312" w:cs="仿宋_GB2312" w:eastAsia="仿宋_GB2312"/>
                <w:sz w:val="21"/>
              </w:rPr>
              <w:t>米）段路基拼宽方式采用单侧加宽。</w:t>
            </w:r>
          </w:p>
          <w:p>
            <w:pPr>
              <w:pStyle w:val="null5"/>
              <w:jc w:val="both"/>
            </w:pPr>
            <w:r>
              <w:rPr>
                <w:rFonts w:ascii="仿宋_GB2312" w:hAnsi="仿宋_GB2312" w:cs="仿宋_GB2312" w:eastAsia="仿宋_GB2312"/>
                <w:sz w:val="21"/>
              </w:rPr>
              <w:t>主要采取城镇化地区双向四车道二级公路标准建设，设计速度</w:t>
            </w:r>
            <w:r>
              <w:rPr>
                <w:rFonts w:ascii="仿宋_GB2312" w:hAnsi="仿宋_GB2312" w:cs="仿宋_GB2312" w:eastAsia="仿宋_GB2312"/>
                <w:sz w:val="21"/>
              </w:rPr>
              <w:t>80/公里每小时，路基宽度24米，沥青混凝土路面，涵桥设计汽车荷载等级为公路-Ⅰ级，路基、大、中、小桥和涵洞均涉及洪水频率为1/50。</w:t>
            </w:r>
          </w:p>
          <w:p>
            <w:pPr>
              <w:pStyle w:val="null5"/>
              <w:jc w:val="both"/>
            </w:pPr>
            <w:r>
              <w:rPr>
                <w:rFonts w:ascii="仿宋_GB2312" w:hAnsi="仿宋_GB2312" w:cs="仿宋_GB2312" w:eastAsia="仿宋_GB2312"/>
                <w:sz w:val="21"/>
              </w:rPr>
              <w:t>满足国家、行业和地方的规范和标准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资质等级</w:t>
            </w:r>
          </w:p>
        </w:tc>
        <w:tc>
          <w:tcPr>
            <w:tcW w:type="dxa" w:w="4984"/>
          </w:tcPr>
          <w:p>
            <w:pPr>
              <w:pStyle w:val="null5"/>
              <w:jc w:val="left"/>
            </w:pPr>
            <w:r>
              <w:rPr>
                <w:rFonts w:ascii="仿宋_GB2312" w:hAnsi="仿宋_GB2312" w:cs="仿宋_GB2312" w:eastAsia="仿宋_GB2312"/>
              </w:rPr>
              <w:t>①具有住房和城乡建设主管部门颁发的工程勘察综合甲级资质或工程勘察（工程测量）乙级及以上资质； ②具有住房和城乡建设行政主管部门颁发的工程设计综合甲级资质或公路行业（公路专业）设计乙级及以上资质；</w:t>
            </w:r>
          </w:p>
        </w:tc>
      </w:tr>
      <w:tr>
        <w:tc>
          <w:tcPr>
            <w:tcW w:type="dxa" w:w="3322"/>
          </w:tcPr>
          <w:p>
            <w:pPr>
              <w:pStyle w:val="null5"/>
              <w:jc w:val="left"/>
            </w:pPr>
            <w:r>
              <w:rPr>
                <w:rFonts w:ascii="仿宋_GB2312" w:hAnsi="仿宋_GB2312" w:cs="仿宋_GB2312" w:eastAsia="仿宋_GB2312"/>
              </w:rPr>
              <w:t>人员要求</w:t>
            </w:r>
          </w:p>
        </w:tc>
        <w:tc>
          <w:tcPr>
            <w:tcW w:type="dxa" w:w="4984"/>
          </w:tcPr>
          <w:p>
            <w:pPr>
              <w:pStyle w:val="null5"/>
              <w:jc w:val="left"/>
            </w:pPr>
            <w:r>
              <w:rPr>
                <w:rFonts w:ascii="仿宋_GB2312" w:hAnsi="仿宋_GB2312" w:cs="仿宋_GB2312" w:eastAsia="仿宋_GB2312"/>
              </w:rPr>
              <w:t>项目负责人1名具有公路工程相关专业中级工程师及以上职称（以职称证书为准）； 勘察负责人1名具有公路工程相关专业中级工程师及以上职称（以职称证书为准）； 设计负责人1名具有公路工程相关专业中级工程师及以上职称（以职称证书为准）；</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对招标项目的理解和总体设计思路</w:t>
            </w:r>
          </w:p>
        </w:tc>
        <w:tc>
          <w:tcPr>
            <w:tcW w:type="dxa" w:w="3115"/>
          </w:tcPr>
          <w:p>
            <w:pPr>
              <w:pStyle w:val="null5"/>
              <w:jc w:val="left"/>
            </w:pPr>
            <w:r>
              <w:rPr>
                <w:rFonts w:ascii="仿宋_GB2312" w:hAnsi="仿宋_GB2312" w:cs="仿宋_GB2312" w:eastAsia="仿宋_GB2312"/>
              </w:rPr>
              <w:t>对招标项目的理解和总体设计思路等情况，一般的得1分，较为合理、可行的得5分，完整、科学的得10分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招标项目勘察设计的特点、关键技术问题的认识及其对策措施</w:t>
            </w:r>
          </w:p>
        </w:tc>
        <w:tc>
          <w:tcPr>
            <w:tcW w:type="dxa" w:w="3115"/>
          </w:tcPr>
          <w:p>
            <w:pPr>
              <w:pStyle w:val="null5"/>
              <w:jc w:val="left"/>
            </w:pPr>
            <w:r>
              <w:rPr>
                <w:rFonts w:ascii="仿宋_GB2312" w:hAnsi="仿宋_GB2312" w:cs="仿宋_GB2312" w:eastAsia="仿宋_GB2312"/>
              </w:rPr>
              <w:t>根据对招标项目勘察设计的特点、关键技术问题的认识及其对策措施等情况得，一般的得1分，较为合理、可行的得5分，完整、科学的得10分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勘察设计工作量及计划安排</w:t>
            </w:r>
          </w:p>
        </w:tc>
        <w:tc>
          <w:tcPr>
            <w:tcW w:type="dxa" w:w="3115"/>
          </w:tcPr>
          <w:p>
            <w:pPr>
              <w:pStyle w:val="null5"/>
              <w:jc w:val="left"/>
            </w:pPr>
            <w:r>
              <w:rPr>
                <w:rFonts w:ascii="仿宋_GB2312" w:hAnsi="仿宋_GB2312" w:cs="仿宋_GB2312" w:eastAsia="仿宋_GB2312"/>
              </w:rPr>
              <w:t>根据对勘察设计工作量及计划安排等情况得，一般的得1分，较为合理、可行的得5分，完整、科学的得10分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勘察设计的质量保证措施、进度保证措施、安全保证措施</w:t>
            </w:r>
          </w:p>
        </w:tc>
        <w:tc>
          <w:tcPr>
            <w:tcW w:type="dxa" w:w="3115"/>
          </w:tcPr>
          <w:p>
            <w:pPr>
              <w:pStyle w:val="null5"/>
              <w:jc w:val="left"/>
            </w:pPr>
            <w:r>
              <w:rPr>
                <w:rFonts w:ascii="仿宋_GB2312" w:hAnsi="仿宋_GB2312" w:cs="仿宋_GB2312" w:eastAsia="仿宋_GB2312"/>
              </w:rPr>
              <w:t>根据对勘察设计的质量保证措施、进度保证措施、安全保证措施等情况得，一般的得1分，较为合理、可行的得5分，完整、科学的得10分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后续服务的安排及保证措施</w:t>
            </w:r>
          </w:p>
        </w:tc>
        <w:tc>
          <w:tcPr>
            <w:tcW w:type="dxa" w:w="3115"/>
          </w:tcPr>
          <w:p>
            <w:pPr>
              <w:pStyle w:val="null5"/>
              <w:jc w:val="left"/>
            </w:pPr>
            <w:r>
              <w:rPr>
                <w:rFonts w:ascii="仿宋_GB2312" w:hAnsi="仿宋_GB2312" w:cs="仿宋_GB2312" w:eastAsia="仿宋_GB2312"/>
              </w:rPr>
              <w:t>根据对后续服务的安排及保证措施等情况得，一般的得1分，较为合理、可行的得5分，完整、科学的得10分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供应商具有二级及以上公路工程施工图勘察设计经验的，每提供一项得5分，本项最高得20分。（提供合同扫描件）</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主要人员业绩</w:t>
            </w:r>
          </w:p>
        </w:tc>
        <w:tc>
          <w:tcPr>
            <w:tcW w:type="dxa" w:w="3115"/>
          </w:tcPr>
          <w:p>
            <w:pPr>
              <w:pStyle w:val="null5"/>
              <w:jc w:val="left"/>
            </w:pPr>
            <w:r>
              <w:rPr>
                <w:rFonts w:ascii="仿宋_GB2312" w:hAnsi="仿宋_GB2312" w:cs="仿宋_GB2312" w:eastAsia="仿宋_GB2312"/>
              </w:rPr>
              <w:t>拟派项目负责人具有二级及以上公路工程施工图勘察设计经验的，每提供一项得2分，最高得4分。（提供合同扫描件） 拟派勘察负责人具有二级及以上公路工程施工图勘察设计经验的，每提供一项得3分，最高得3分。（提供合同扫描件） 拟派设计负责人具有二级及上公路工程施工图勘察设计经验的，每提供一项得3分；最高得3分。（提供合同扫描件）； 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