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D6B7">
      <w:pPr>
        <w:jc w:val="both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建筑烟火特性训练设施功能需求方案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（总队）</w:t>
      </w:r>
    </w:p>
    <w:p w14:paraId="0D6D19F2">
      <w:p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406ACD2B">
      <w:pPr>
        <w:ind w:firstLine="632" w:firstLineChars="20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主要功能</w:t>
      </w:r>
    </w:p>
    <w:p w14:paraId="6F6128A6">
      <w:pPr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建筑烟火特性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模拟训练设施针对消防实战化进行设计，模拟训练设施采用模块化，烟热及真火相结合的方式，实现轰燃、回燃训练功能。训练设施能够仿真模拟真实火灾场景，营造逼真的火灾烟热环境，使参训人员在训练中接近实战，身临其境感受爆燃、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、爆炸时瞬间产生的高温、热浪、气压和冲击波等火灾效应，掌握自救、灭火和救援技术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提升应对复杂环境中的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侦察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、搜救、排烟、破拆、灭火等攻坚能力，提高在复杂和恶劣条件下的心理承受能力、应变能力、装备操作及战术能力，为圆满完成灭火攻坚和处置各种灾害事故任务，最大限度地保护自身安全提供有力保障。</w:t>
      </w:r>
    </w:p>
    <w:p w14:paraId="40ACBA91">
      <w:pPr>
        <w:ind w:firstLine="632" w:firstLineChars="20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二、结构组成</w:t>
      </w:r>
    </w:p>
    <w:p w14:paraId="4E54D580">
      <w:pPr>
        <w:pStyle w:val="7"/>
        <w:jc w:val="both"/>
        <w:rPr>
          <w:rFonts w:hint="default" w:eastAsia="方正楷体_GBK"/>
          <w:b w:val="0"/>
          <w:bCs w:val="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建筑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烟火特性训练设施使用集装箱与钢制构件拼装构建，共用集装箱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约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个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（12米规格），以及钢构空间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约10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×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×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米；形成的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占地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面积约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500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平方米，使用面积约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830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平方米。主体建筑场景由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栋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层建筑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1个大跨度可变空间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部分组成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外观喷涂水性环氧面漆。整体建筑耐火等级不小于一级。训练设施门窗及其框架应为不燃材料。在高温或温度急速交替变化情况下，门窗应可正常启闭。训练设施应整体抬高建设，内部地面须做防滑处理并设计有排水（污）槽，通过排水（污）管道将水引至室外排水渠。</w:t>
      </w:r>
    </w:p>
    <w:p w14:paraId="4B7EE014">
      <w:pPr>
        <w:ind w:firstLine="632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主体建筑内部设置有多功能燃烧室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温度控制系统、烟雾发生装置及安全监测设备，可模拟各类火灾场景与环境参数。大跨度可变空间可用于开展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侦察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搜救、破拆排烟、内攻灭火等多样化训练科目。外跨楼梯与逃生平台则用于训练高空救援、紧急撤离和协同作战能力。训练设施应在底层安全出口底部设置水带专用输送口，输送口尺寸高度不低于20cm，并进行遮光处理。采用燃气方式的燃烧室点火装置应采用电子自动点火装置，燃气喷嘴应能耐高温，连续工作2h不应有明显变形，设有熄火保护装置。燃烧控制系统应采用多级控制且应配备手持式应急遥控装置。整个设施配备智能化控制与实时反馈系统，支持多场景切换和训练数据采集，全面提升实战化训练水平与安全保障能力。</w:t>
      </w:r>
    </w:p>
    <w:p w14:paraId="1DA4009A">
      <w:pPr>
        <w:ind w:firstLine="632" w:firstLineChars="200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三、设施分区</w:t>
      </w:r>
    </w:p>
    <w:p w14:paraId="32B75CB4">
      <w:pPr>
        <w:ind w:firstLine="632" w:firstLineChars="200"/>
        <w:jc w:val="both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轰燃火训练箱和回燃火训练箱</w:t>
      </w:r>
    </w:p>
    <w:p w14:paraId="3A1F6565">
      <w:pPr>
        <w:numPr>
          <w:ilvl w:val="0"/>
          <w:numId w:val="0"/>
        </w:numPr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轰燃火训练箱（烟火特性箱）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1个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米集装箱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箱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内分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为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燃烧室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过渡区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观察室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，便于模拟制造极端火行为现象，同时提高观察烟火行为的安全性和便捷性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燃烧区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。燃料为木材等可燃物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实现火灾发展各阶段、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轰燃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、滚燃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等现象。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燃烧区、过渡区四面侧墙、顶部防火隔热采用防火砖和防火板。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防火板材质为硅酸铝陶瓷纤维板（厚度≥50mm、耐火度单值≥1200℃）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。防火砖耐高温不低于1300度，砖缝采用专用防火泥铺贴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砖缝采用方管固定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与集装箱钢板缝隙处采用防火泥封堵密封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训练区全部防护，采用4mm厚高耐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钢板及方管钢结构框架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耐冲击、抗高温、耐腐蚀。内部采用岩棉复合板，钢板表面喷涂银粉涂料。顶部和侧壁均安装用于放置木材的铁链和相应的槽钢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在放置燃烧介质时，可灵活摆放，达到不一样的燃烧效果。地面铺设耐火砖，使整个燃烧室无论从顶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到地面均得到有效的保护，增强使用寿命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，耐火极限应不低于2h，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熄火后10分钟内可以恢复使用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。燃烧室和观察室地面均设有两处直径为10毫米排水口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。能够实现滚燃和轰燃的现象演示。模块应设置2个出入口，其中侧向出口应满足安全出口的设置要求，正向出口应设置可上下分段启闭的门，内部宜设置热辐射阻隔设施。</w:t>
      </w:r>
    </w:p>
    <w:p w14:paraId="7FC579EF">
      <w:pPr>
        <w:numPr>
          <w:ilvl w:val="0"/>
          <w:numId w:val="0"/>
        </w:numPr>
        <w:ind w:firstLine="632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回燃火训练箱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利用12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米集装箱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局部6米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改造形成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能够模拟密闭空间阴燃或窒息状态下产生大量可燃气体，通过控制通风实现回燃现象演示。外墙设置安全观察及控制窗口，长度和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度均不小于0.45米。燃烧室四面侧墙及顶部安装耐高温防火砖和防火板。防火板材质为硅酸铝陶瓷纤维板（厚度≥50mm、耐火度单值≥1200℃）。防火砖耐高温不低于1300度，砖缝采用专用防火泥铺贴，砖缝采用方管固定，与集装箱钢板缝隙处采用防火泥封堵密封。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顶部和侧壁均安装用于放置木材的铁链和相应的槽钢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并在墙上设置谷仓式防火门，防火门分为上下两部分，隔断墙和防火门表面耐火处理同上。</w:t>
      </w:r>
    </w:p>
    <w:p w14:paraId="5C8C77A3">
      <w:pPr>
        <w:numPr>
          <w:ilvl w:val="0"/>
          <w:numId w:val="0"/>
        </w:numPr>
        <w:ind w:firstLine="632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可开展训练科目。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燃烧、烟气成分浓度的识别，烟气中性层变化，火灾发展过程，烟气层温度探测，轰然、回燃、滚燃现象，观察烟气流动及颜色，破坏烟气层等现象。</w:t>
      </w:r>
    </w:p>
    <w:p w14:paraId="62253D5B">
      <w:pPr>
        <w:ind w:firstLine="632" w:firstLineChars="200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多层建筑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结构训练箱</w:t>
      </w:r>
    </w:p>
    <w:p w14:paraId="088D569B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由1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个集装箱搭建构成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3层建筑面积约480平方米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长约24米宽约8米高约8米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内部空间部局同样使用可变设计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模拟典型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建筑火灾扑救训练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层为沿街店铺和仓储，二层为办公、娱乐和餐饮、三层为宾馆住宿等，设置1部封闭式楼梯和1部室外楼梯（楼梯宽度不小于1.2米，倾斜角度不大于45度）及疏散平台，内部楼梯直通楼顶，设置进出口。每层铺设天然气管道并设置不少于3个燃气着火点，可以模拟屋顶滚燃火、厨房灶具火、床沙发家具火、电动车火等场景，同时不少于6个移动式燃木火点（移动燃料架尺寸应不小于100cmx100cm，离地面应不低于30cm）。烟热由轰然室提供，可实现分层注烟。</w:t>
      </w:r>
    </w:p>
    <w:p w14:paraId="6CCFBF8A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可开展训练科目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。可在训练区开展技战术训练，如火场侦察、搜救破拆、射水技术、水带管理、门控技术、排烟技术、紧急救助及撤离等攻坚组实战操法训练。</w:t>
      </w:r>
    </w:p>
    <w:p w14:paraId="7F4C8B7E">
      <w:pPr>
        <w:ind w:firstLine="632" w:firstLineChars="200"/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</w:t>
      </w: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大跨度可变空间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结构训练箱</w:t>
      </w:r>
    </w:p>
    <w:p w14:paraId="4EF41C26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大跨度空间内部采用工字钢、方管等钢材搭建，由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长约24米，宽约10米，高约5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米的钢构空间搭建构成，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尽量减少立柱的使用，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使用面积约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240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平方米。墙板采用1.8mm厚瓦楞板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顶部上人平台采用4mm厚花纹板、岩棉夹层，可满足可移动火源燃烧防护需要。通过钢制可变式内部空间，可模拟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厂房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库房、超市、地下车库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等大空间场所。内部训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练区域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可分区、可合并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，实现多组同步或整建制合成施训。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立柱之间可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自由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安装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40个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1米宽2米高的可移动钢制防火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墙。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可移动钢制防火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挡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墙之间可自由组合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，便于搬运和组装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通过组合成不同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功能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区域，实现不同的技战术演练。所有墙体均做防护设计，便于室内设置小型移动烟火源，灵活假设火灾火情。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不少于6个移动式燃木火点，烟热由轰然室、回燃室提供。设置可移动货架（长约1.5米，宽约0.5米，高约2米）25个。</w:t>
      </w:r>
    </w:p>
    <w:p w14:paraId="401FE659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可开展训练科目。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单元式居民楼火灾扑救操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多层建筑火灾扑救操（住宅、宾馆、餐馆、自建房、商市场等）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地下建筑火灾扑救操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大跨度厂（库）房火灾扑救操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室内燃气泄漏事故处置操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大型综合体火灾扑救操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6DCFAF36">
      <w:pPr>
        <w:ind w:firstLine="632" w:firstLineChars="200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（四）建筑内部水系统设施</w:t>
      </w:r>
    </w:p>
    <w:p w14:paraId="6BE622DD">
      <w:pPr>
        <w:numPr>
          <w:ilvl w:val="0"/>
          <w:numId w:val="0"/>
        </w:numPr>
        <w:ind w:firstLine="64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多层建筑及大跨度空间内部需建设置喷淋和消火栓系统，外部需建水泵接合器及污水处理池（排水沟）。</w:t>
      </w:r>
    </w:p>
    <w:p w14:paraId="021680DB">
      <w:pPr>
        <w:ind w:firstLine="632" w:firstLineChars="20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四、安全保障</w:t>
      </w:r>
    </w:p>
    <w:p w14:paraId="23D23C41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主控室位于大跨度空间外围集装箱内部。提供中央控制系统实现方案，方案至少包括组成辅助控制系统中央控制，系统由各类设施设备和系统集成、控制应急照明系统、温度监测系统、紧急停止系统、通风排烟系统、声光报警系统、监控系统和水喷淋系统控制等操作，满足操作简单和自动化要求，监控参训人员安全。</w:t>
      </w:r>
    </w:p>
    <w:p w14:paraId="79FDBDD9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应急照明系统：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按照建筑防火设计规范在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多层建筑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大跨度空间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设置应急照明系统和疏散指示标志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3608F676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温度监测系统：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回燃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轰燃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火箱体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大跨度空间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多层建筑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安装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组温度探测装置，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每个功能分区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数量不少于3个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温度数据可实时（或每10秒1次）传送至控制室。</w:t>
      </w:r>
    </w:p>
    <w:p w14:paraId="5CB16B8F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通风排烟系统：用于日常通风、紧急情况下排烟。可根据需要，从小到大分五级调整每个风机的风量大小。紧急情况下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通过紧急停止按钮，迅速排除出室内烟气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排烟装置启动1min后，训练设施内的能见度应不小于6m，优先使用自然排烟方式。</w:t>
      </w:r>
    </w:p>
    <w:p w14:paraId="0ABC90BF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紧急停止系统：用于紧急情况下停止动作，包括激活通风和照明系统。在大跨度空间每个入户门、多层建筑每层入口处均安装一个急停按钮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实行大跨度空间、多层建筑两个区域的分区控制。</w:t>
      </w:r>
    </w:p>
    <w:p w14:paraId="79F2044A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水喷淋冷却系统：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室内（除燃烧箱）设置，用于紧急状态下的迅速降温。在大跨度空间中控室一侧设置水泵房。中控室内可通过软件在电脑屏幕分别控制两个分区喷头的启停。</w:t>
      </w:r>
    </w:p>
    <w:p w14:paraId="5D515DDB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（六）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声光报警系统：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如设施出现故障及安全隐患时，可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通过声光报警器，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现场训练人员第一时间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撤离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661D240C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（七）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监控系统：采用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双光普水冷却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热成像仪全方位实时监控设施情况，避免由于训练过程中产生大量的浓烟、红外线摄像机可视程度不明显的弊端。配置无线传输型视频监控装置。</w:t>
      </w:r>
    </w:p>
    <w:p w14:paraId="1EC54492">
      <w:pPr>
        <w:numPr>
          <w:ilvl w:val="0"/>
          <w:numId w:val="0"/>
        </w:numPr>
        <w:adjustRightInd w:val="0"/>
        <w:snapToGrid w:val="0"/>
        <w:spacing w:line="600" w:lineRule="exact"/>
        <w:ind w:firstLine="632" w:firstLineChars="20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气体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监控系统：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采用燃气方式的燃烧室应设置气体探测装置，布置不少于2个，位置在中线位置距地面1米处和顶棚处。</w:t>
      </w:r>
    </w:p>
    <w:p w14:paraId="27FEAEAC">
      <w:pPr>
        <w:ind w:firstLine="632" w:firstLineChars="20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、培训课程</w:t>
      </w:r>
    </w:p>
    <w:p w14:paraId="5DAFD44F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）根据投标对本投标设施设备及系统的分类，需提供设施设备的培训课程，包括但不仅限于：操作规程、故障判断及处理，安全制度、基本训练课程（室内烟火特性训练设施）等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11789325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）培训期限至少2年，每年的烟火特性受训人员至少满足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500人次，培训内容包括：燃烧理论、基本的火场特性、火灾发展阶段、极端火场现象轰燃、回燃等认知、阅读火场、灭火技巧和通风策略等。每次培训课程不少于 40 课时，授课要求等等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7D2AA5FB">
      <w:pPr>
        <w:ind w:firstLine="632" w:firstLineChars="20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、售后服务</w:t>
      </w:r>
    </w:p>
    <w:p w14:paraId="07E67441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）提供本设施设备采购项目的包括质保期内和质保期外维保措施，包括服务内容、服务方式、人员及驻场地点的安排、响应时间。</w:t>
      </w:r>
    </w:p>
    <w:p w14:paraId="7F7F5E66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）根据投标对本投标设施设备及系统的分类，需提供设施设备的维保方案，并列出备品备件及主要易疲劳、宜受损的设备清单等。</w:t>
      </w:r>
    </w:p>
    <w:p w14:paraId="2FE75F2B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）项目质保期 2 年，提供不少于 2 人的维保人员。</w:t>
      </w:r>
    </w:p>
    <w:p w14:paraId="0268F753">
      <w:pPr>
        <w:pStyle w:val="3"/>
        <w:jc w:val="center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br w:type="page"/>
      </w:r>
      <w:r>
        <w:rPr>
          <w:rFonts w:hint="default" w:ascii="Times New Roman" w:hAnsi="Times New Roman" w:eastAsia="方正小标宋_GBK" w:cs="Times New Roman"/>
          <w:spacing w:val="-17"/>
          <w:sz w:val="44"/>
          <w:szCs w:val="44"/>
          <w:lang w:val="en-US" w:eastAsia="zh-CN"/>
        </w:rPr>
        <w:t>建筑烟火特性训练设施功能需求方案</w:t>
      </w:r>
      <w:r>
        <w:rPr>
          <w:rFonts w:hint="eastAsia" w:ascii="Times New Roman" w:hAnsi="Times New Roman" w:eastAsia="方正小标宋_GBK" w:cs="Times New Roman"/>
          <w:spacing w:val="-17"/>
          <w:sz w:val="44"/>
          <w:szCs w:val="44"/>
          <w:lang w:val="en-US" w:eastAsia="zh-CN"/>
        </w:rPr>
        <w:t>（阿拉善支队）</w:t>
      </w:r>
    </w:p>
    <w:p w14:paraId="630B5E81">
      <w:pPr>
        <w:pStyle w:val="7"/>
        <w:rPr>
          <w:rFonts w:hint="default"/>
        </w:rPr>
      </w:pPr>
    </w:p>
    <w:p w14:paraId="4E38AA9A">
      <w:pPr>
        <w:ind w:firstLine="632" w:firstLineChars="20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主要功能</w:t>
      </w:r>
    </w:p>
    <w:p w14:paraId="3F51A887">
      <w:p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建筑烟火特性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模拟训练设施针对消防实战化进行设计，模拟训练设施采用模块化，烟热及真火相结合的方式，实现轰燃、回燃训练功能。训练设施能够仿真模拟真实火灾场景，营造逼真的火灾烟热环境，使参训人员在训练中接近实战，身临其境感受爆燃、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、爆炸时瞬间产生的高温、热浪、气压和冲击波等火灾效应，掌握自救、灭火和救援技术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提升应对复杂环境中的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侦察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、搜救、排烟、破拆、灭火等攻坚能力，提高在复杂和恶劣条件下的心理承受能力、应变能力、装备操作及战术能力，为圆满完成灭火攻坚和处置各种灾害事故任务，最大限度地保护自身安全提供有力保障。</w:t>
      </w:r>
    </w:p>
    <w:p w14:paraId="1649B155">
      <w:pPr>
        <w:ind w:firstLine="632" w:firstLineChars="20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二、结构组成</w:t>
      </w:r>
    </w:p>
    <w:p w14:paraId="0E6A6ECA">
      <w:pPr>
        <w:ind w:firstLine="632" w:firstLineChars="200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建筑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烟火特性训练设施使用集装箱与钢制构件拼装构建，共用集装箱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约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</w:rPr>
        <w:t>个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（12米规格），形成的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占地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面积约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200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平方米，使用面积约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180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平方米。建筑场景由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栋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层建筑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构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成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val="en-US" w:eastAsia="zh-CN"/>
        </w:rPr>
        <w:t>一层并排放置3个集装箱（含轰回燃一体训练箱）、二层并排放置2个集装箱、三层1个集装箱，每层楼顶均设平台，设置围栏并与外挂梯相连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u w:val="none"/>
        </w:rPr>
        <w:t>。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val="en-US" w:eastAsia="zh-CN"/>
        </w:rPr>
        <w:t>内置敞开楼梯间，直通三层楼顶平台。外观喷涂水性环氧面漆，整体建筑耐火等级不小于一级。训练设施门窗及其框架应为不燃材料。在高温或温度急速交替变化情况下，门窗应可正常启闭。</w:t>
      </w:r>
    </w:p>
    <w:p w14:paraId="11207117">
      <w:pPr>
        <w:ind w:firstLine="632" w:firstLineChars="200"/>
        <w:rPr>
          <w:rFonts w:hint="default"/>
          <w:u w:val="none"/>
        </w:rPr>
      </w:pP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eastAsia="zh-CN"/>
        </w:rPr>
        <w:t>建筑内部设置有多功能燃烧室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eastAsia="zh-CN"/>
        </w:rPr>
        <w:t>温度控制系统、烟雾发生装置及安全监测设备，可模拟各类火灾场景与环境参数。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val="en-US" w:eastAsia="zh-CN"/>
        </w:rPr>
        <w:t>内部可设置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u w:val="none"/>
          <w:lang w:eastAsia="zh-CN"/>
        </w:rPr>
        <w:t>侦查搜救、破拆排烟、内攻灭火等多样化训练科目。外跨楼梯与逃生平台则用于训练高空救援、紧急撤离和协同作战能力。训练设施应在底层安全出口底部设置水带专用输送口，输送口尺寸高度不低于20cm，并进行遮光处理。采用燃气方式的燃烧室点火装置应采用电子自动点火装置，燃气喷嘴应能耐高温，连续工作2h不应有明显变形，设有熄火保护装置。燃烧控制系统应采用多级控制且应配备手持式应急遥控装置。整个设施配备智能化控制与实时反馈系统，支持多场景切换和训练数据采集，全面提升实战化训练水平与安全保障能力。</w:t>
      </w:r>
    </w:p>
    <w:p w14:paraId="7895FF17">
      <w:pPr>
        <w:ind w:firstLine="632" w:firstLineChars="200"/>
        <w:rPr>
          <w:rFonts w:hint="default" w:ascii="Times New Roman" w:hAnsi="Times New Roman" w:eastAsia="方正黑体_GBK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u w:val="none"/>
          <w:lang w:val="en-US" w:eastAsia="zh-CN"/>
        </w:rPr>
        <w:t>三、设施构成</w:t>
      </w:r>
    </w:p>
    <w:p w14:paraId="01F65C66">
      <w:pPr>
        <w:ind w:firstLine="632" w:firstLineChars="200"/>
        <w:rPr>
          <w:rFonts w:hint="eastAsia" w:ascii="方正楷体_GBK" w:hAnsi="方正楷体_GBK" w:eastAsia="方正楷体_GBK" w:cs="方正楷体_GBK"/>
          <w:sz w:val="32"/>
          <w:szCs w:val="32"/>
          <w:u w:val="none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</w:rPr>
        <w:t>轰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回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</w:rPr>
        <w:t>燃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一体训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</w:rPr>
        <w:t>练箱</w:t>
      </w:r>
    </w:p>
    <w:p w14:paraId="58B911C0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轰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回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燃火训练箱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1个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米集装箱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箱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内分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为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</w:rPr>
        <w:t>燃烧室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  <w:lang w:val="en-US" w:eastAsia="zh-CN"/>
        </w:rPr>
        <w:t>过渡区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</w:rPr>
        <w:t>观察室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，便于模拟制造极端火行为现象，同时提高观察烟火行为的安全性和便捷性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燃烧区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能够实现滚燃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轰燃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模拟密闭空间阴燃或窒息状态下产生大量可燃气体，控制通风实现回燃现象演示。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燃料为木材等可燃物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实现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轰燃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、回燃、滚燃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等现象。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燃烧区、过渡区四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面侧墙及顶部安装耐高温防火砖和防火板，防火板材质为硅酸铝陶瓷纤维板（厚度≥50mm、耐火度单值≥1200℃）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防火砖耐高温不低于1300度，砖缝采用专用防火泥铺贴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砖缝采用方管固定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与集装箱钢板缝隙处采用防火泥封堵密封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训练区全部防护，采用4mm厚高耐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温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钢板及方管钢结构框架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耐冲击、抗高温、耐腐蚀。内部采用岩棉复合板，钢板表面喷涂银粉涂料。顶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部和侧壁均安装用于放置木材的铁链和相应的槽钢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在放置燃烧介质时，可灵活摆放，达到不一样的燃烧效果。地面铺设耐火砖，使整个燃烧室无论从顶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部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到地面均得到有效的保护，增强使用寿命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，耐火极限应不低于2h，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熄火后10分钟内可以恢复使用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。燃烧室和观察室地面均设有两处直径为10毫米排水口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。安全出口的设置要求，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并设置谷仓式防火门，防火门分为上下两部分，隔断墙和防火门表面耐火处理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外墙设置安全观察及控制窗口，长度和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宽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度均不小于0.45米。</w:t>
      </w:r>
    </w:p>
    <w:p w14:paraId="25A04136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u w:val="none"/>
          <w:lang w:val="en-US" w:eastAsia="zh-CN"/>
        </w:rPr>
        <w:t>可开展训练科目。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燃烧、烟气成分浓度的识别，烟气中性层变化，火灾发展过程，烟气层温度探测，轰然、回燃、滚燃现象，观察烟气流动及颜色，破坏烟气层等现象。</w:t>
      </w:r>
    </w:p>
    <w:p w14:paraId="1DB71348">
      <w:pPr>
        <w:ind w:firstLine="632" w:firstLineChars="200"/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</w:rPr>
        <w:t>多层建筑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结构训练箱</w:t>
      </w:r>
    </w:p>
    <w:p w14:paraId="5BE425B5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由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个集装箱搭建构成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3层建筑面积约180平方米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长约12米宽约5米高约8米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，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u w:val="none"/>
        </w:rPr>
        <w:t>内部空间部局同样使用可变设计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主要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模拟典型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多层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建筑火灾扑救训练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一层为沿街店铺区、二层为仓储区、三层为住宿区，设置1部内部敞开式楼梯间和1部室外楼梯及疏散平台，均可通往三层楼顶。每层铺设天然气管道并设置不少于1个燃气着火点，可以模拟屋顶滚燃火、厨房灶具火、床沙发家具火等场景，设置不少于1个移动式燃木火点。（移动燃料架尺寸应不小于100cmx100cm，离地面应不低于30cm）。烟热由轰然室提供，可实现分层注烟。</w:t>
      </w:r>
    </w:p>
    <w:p w14:paraId="37D2EAC2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可开展训练科目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。可在训练区开展技战术训练，如火场侦察、搜救破拆、射水技术、水带管理、门控技术、排烟技术、紧急救助及撤离等攻坚组实战操法训练，以及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多层建筑火灾扑救操（住宅、宾馆、餐馆、自建房、等）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地下建筑火灾扑救操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室内燃气泄漏事故处置操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7DC2D947">
      <w:pPr>
        <w:ind w:firstLine="632" w:firstLineChars="200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（四）建筑内部水系统设施</w:t>
      </w:r>
    </w:p>
    <w:p w14:paraId="66DBF365">
      <w:pPr>
        <w:numPr>
          <w:ilvl w:val="0"/>
          <w:numId w:val="0"/>
        </w:numPr>
        <w:ind w:firstLine="64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多层建筑及大跨度空间内部需建设置喷淋和消火栓系统，外部需建水泵接合器及污水处理池（排水沟）。</w:t>
      </w:r>
    </w:p>
    <w:p w14:paraId="0AABB0F3">
      <w:pPr>
        <w:ind w:firstLine="632" w:firstLineChars="20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四、安全保障</w:t>
      </w:r>
    </w:p>
    <w:p w14:paraId="07A4A08D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主控室位于集装箱内部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提供中央控制系统实现方案，方案至少包括组成辅助控制系统中央控制，系统由各类设施设备和系统集成、控制应急照明系统、温度监测系统、紧急停止系统、通风排烟系统、声光报警系统、监控系统和水喷淋系统控制等操作，满足操作简单和自动化要求，监控参训人员安全。</w:t>
      </w:r>
    </w:p>
    <w:p w14:paraId="520AAA6A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应急照明系统：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按照建筑防火设计规范在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多层建筑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设置应急照明系统和疏散指示标志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7B7EF307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温度监测系统：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回燃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轰燃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火箱体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多层建筑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安装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组温度探测装置，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每个功能分区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数量不少于3个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温度数据可实时（或每10秒1次）传送至控制室。</w:t>
      </w:r>
    </w:p>
    <w:p w14:paraId="2C04DCFF">
      <w:pPr>
        <w:numPr>
          <w:ilvl w:val="0"/>
          <w:numId w:val="0"/>
        </w:numPr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通风排烟系统：用于日常通风、紧急情况下排烟。可根据需要，从小到大分五级调整每个风机的风量大小。紧急情况下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通过紧急停止按钮，迅速排除出室内烟气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排烟装置启动1min后，训练设施内的能见度应不小于6m，优先使用自然排烟方式。</w:t>
      </w:r>
    </w:p>
    <w:p w14:paraId="4A7BDDCA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u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（四）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紧急停止系统：用于紧急情况下停止动作，包括激活通风和照明系统。在每层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每个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入口处均安装一个急停按钮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并实现每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层建筑分区控制。</w:t>
      </w:r>
    </w:p>
    <w:p w14:paraId="4853AEC4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水喷淋冷却系统：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室内（除燃烧箱）设置，用于紧急状态下的迅速降温。在大跨度空间中控室一侧设置水泵房。中控室内可通过软件在电脑屏幕分别控制两个分区喷头的启停。</w:t>
      </w:r>
    </w:p>
    <w:p w14:paraId="3314FB94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（六）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声光报警系统：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如设施出现故障及安全隐患时，可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通过声光报警器，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通知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现场训练人员第一时间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撤离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 w14:paraId="0EB8DDEF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（七）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监控系统：采用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双光普水冷却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热成像仪全方位实时监控设施情况，避免由于训练过程中产生大量的浓烟、红外线摄像机可视程度不明显的弊端。配置无线传输型视频监控装置。</w:t>
      </w:r>
    </w:p>
    <w:p w14:paraId="3082B90C">
      <w:pPr>
        <w:numPr>
          <w:ilvl w:val="0"/>
          <w:numId w:val="0"/>
        </w:numPr>
        <w:adjustRightInd w:val="0"/>
        <w:snapToGrid w:val="0"/>
        <w:spacing w:line="600" w:lineRule="exact"/>
        <w:ind w:firstLine="632" w:firstLineChars="200"/>
        <w:rPr>
          <w:rFonts w:hint="default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气体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监控系统：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采用燃气方式的燃烧室应设置气体探测装置，布置不少于2个，位置在中线位置距地面1米处和顶棚处。</w:t>
      </w:r>
    </w:p>
    <w:p w14:paraId="12A14BE8">
      <w:pPr>
        <w:ind w:firstLine="632" w:firstLineChars="20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、培训课程</w:t>
      </w:r>
    </w:p>
    <w:p w14:paraId="58E00C05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）根据投标对本投标设施设备及系统的分类，需提供设施设备的培训课程，包括但不仅限于：操作规程、故障判断及处理，安全制度、基本训练课程（室内烟火特性训练设施）等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05C466FC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）培训期限至少2年，每年的烟火特性受训人员至少满足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600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人次，培训内容包括：燃烧理论、基本的火场特性、火灾发展阶段、极端火场现象轰燃、回燃等认知、阅读火场、灭火技巧和通风策略等。每次培训课程不少于 40 课时，授课要求等等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5C69BC1C">
      <w:pPr>
        <w:ind w:firstLine="632" w:firstLineChars="20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、售后服务</w:t>
      </w:r>
    </w:p>
    <w:p w14:paraId="066BE49B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）提供本设施设备采购项目的包括质保期内和质保期外维保措施，包括服务内容、服务方式、人员及驻场地点的安排、响应时间。</w:t>
      </w:r>
    </w:p>
    <w:p w14:paraId="6D5B220A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）根据投标对本投标设施设备及系统的分类，需提供设施设备的维保方案，并列出备品备件及主要易疲劳、宜受损的设备清单等。</w:t>
      </w:r>
    </w:p>
    <w:p w14:paraId="33E81C80">
      <w:pPr>
        <w:numPr>
          <w:ilvl w:val="0"/>
          <w:numId w:val="0"/>
        </w:num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）项目质保期 2 年，提供不少于 2 人的维保人员。</w:t>
      </w:r>
    </w:p>
    <w:p w14:paraId="78E112DB"/>
    <w:p w14:paraId="187B5C55">
      <w:p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46444F81">
      <w:pPr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32C9B73D">
      <w:pPr>
        <w:adjustRightInd w:val="0"/>
        <w:snapToGrid w:val="0"/>
        <w:spacing w:line="600" w:lineRule="exact"/>
        <w:rPr>
          <w:rFonts w:hint="default" w:ascii="Times New Roman" w:hAnsi="Times New Roman" w:eastAsia="方正黑体_GBK" w:cs="Times New Roman"/>
        </w:rPr>
        <w:sectPr>
          <w:footerReference r:id="rId3" w:type="default"/>
          <w:footerReference r:id="rId4" w:type="even"/>
          <w:pgSz w:w="11906" w:h="16838"/>
          <w:pgMar w:top="1134" w:right="1474" w:bottom="2268" w:left="1587" w:header="851" w:footer="1417" w:gutter="0"/>
          <w:cols w:space="720" w:num="1"/>
          <w:titlePg/>
          <w:rtlGutter w:val="0"/>
          <w:docGrid w:type="linesAndChars" w:linePitch="631" w:charSpace="-849"/>
        </w:sectPr>
      </w:pPr>
    </w:p>
    <w:p w14:paraId="7EFFAA46">
      <w:pPr>
        <w:jc w:val="center"/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建筑烟火特性训练设施平面图（内蒙古总队）</w:t>
      </w:r>
      <w:r>
        <w:drawing>
          <wp:inline distT="0" distB="0" distL="114300" distR="114300">
            <wp:extent cx="6256655" cy="4959350"/>
            <wp:effectExtent l="0" t="0" r="10795" b="1270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6655" cy="495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04E5E">
      <w:pPr>
        <w:jc w:val="center"/>
      </w:pPr>
      <w:r>
        <w:drawing>
          <wp:inline distT="0" distB="0" distL="114300" distR="114300">
            <wp:extent cx="6383655" cy="5229225"/>
            <wp:effectExtent l="0" t="0" r="17145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3655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387DD">
      <w:pPr>
        <w:jc w:val="center"/>
      </w:pPr>
    </w:p>
    <w:p w14:paraId="0D841FCD">
      <w:pPr>
        <w:jc w:val="center"/>
      </w:pPr>
      <w:r>
        <w:drawing>
          <wp:inline distT="0" distB="0" distL="114300" distR="114300">
            <wp:extent cx="6401435" cy="4558030"/>
            <wp:effectExtent l="0" t="0" r="18415" b="139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1435" cy="455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6C736">
      <w:pPr>
        <w:jc w:val="center"/>
      </w:pPr>
    </w:p>
    <w:p w14:paraId="0F54DAB6">
      <w:pPr>
        <w:jc w:val="center"/>
      </w:pPr>
    </w:p>
    <w:p w14:paraId="3E3C7E2E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建筑烟火特性训练设施平面图（阿拉善支队）</w:t>
      </w:r>
    </w:p>
    <w:p w14:paraId="7766420A">
      <w:pPr>
        <w:jc w:val="center"/>
      </w:pPr>
      <w:r>
        <w:drawing>
          <wp:inline distT="0" distB="0" distL="114300" distR="114300">
            <wp:extent cx="7197090" cy="4734560"/>
            <wp:effectExtent l="0" t="0" r="3810" b="889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97090" cy="473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07199">
      <w:pPr>
        <w:jc w:val="center"/>
      </w:pPr>
    </w:p>
    <w:p w14:paraId="7B36D9D4">
      <w:pPr>
        <w:jc w:val="center"/>
      </w:pPr>
      <w:r>
        <w:drawing>
          <wp:inline distT="0" distB="0" distL="114300" distR="114300">
            <wp:extent cx="7967345" cy="5376545"/>
            <wp:effectExtent l="0" t="0" r="14605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67345" cy="537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DD441">
      <w:pPr>
        <w:jc w:val="center"/>
      </w:pPr>
    </w:p>
    <w:p w14:paraId="1A01EE2E">
      <w:pPr>
        <w:jc w:val="center"/>
      </w:pPr>
      <w:r>
        <w:drawing>
          <wp:inline distT="0" distB="0" distL="114300" distR="114300">
            <wp:extent cx="7947660" cy="4714240"/>
            <wp:effectExtent l="0" t="0" r="15240" b="1016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47660" cy="47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05E37">
      <w:pPr>
        <w:pStyle w:val="12"/>
        <w:rPr>
          <w:rFonts w:hint="default"/>
        </w:rPr>
      </w:pPr>
    </w:p>
    <w:p w14:paraId="4C06D49D">
      <w:pPr>
        <w:rPr>
          <w:rFonts w:hint="default"/>
        </w:rPr>
      </w:pPr>
    </w:p>
    <w:p w14:paraId="764D43B9">
      <w:pPr>
        <w:jc w:val="center"/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大跨度大空间结构图</w:t>
      </w:r>
      <w:r>
        <w:drawing>
          <wp:inline distT="0" distB="0" distL="114300" distR="114300">
            <wp:extent cx="7418070" cy="5025390"/>
            <wp:effectExtent l="0" t="0" r="1143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rcRect l="2668" t="4772" r="1167" b="943"/>
                    <a:stretch>
                      <a:fillRect/>
                    </a:stretch>
                  </pic:blipFill>
                  <pic:spPr>
                    <a:xfrm>
                      <a:off x="0" y="0"/>
                      <a:ext cx="7418070" cy="502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531" w:right="2098" w:bottom="1531" w:left="1531" w:header="851" w:footer="992" w:gutter="0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4D927">
    <w:pPr>
      <w:pStyle w:val="6"/>
      <w:framePr w:wrap="around" w:vAnchor="text" w:hAnchor="margin" w:xAlign="outside" w:y="1"/>
      <w:adjustRightInd w:val="0"/>
      <w:ind w:right="320" w:rightChars="100"/>
      <w:rPr>
        <w:rStyle w:val="11"/>
        <w:rFonts w:hint="eastAsia" w:ascii="宋体" w:hAnsi="宋体" w:eastAsia="宋体"/>
        <w:sz w:val="28"/>
        <w:szCs w:val="28"/>
      </w:rPr>
    </w:pPr>
    <w:r>
      <w:rPr>
        <w:rStyle w:val="11"/>
        <w:rFonts w:hint="eastAsia" w:ascii="宋体" w:hAnsi="宋体" w:eastAsia="宋体"/>
        <w:sz w:val="28"/>
        <w:szCs w:val="28"/>
      </w:rPr>
      <w:t>—</w:t>
    </w:r>
    <w:r>
      <w:rPr>
        <w:rStyle w:val="11"/>
        <w:rFonts w:ascii="宋体" w:hAnsi="宋体" w:eastAsia="宋体"/>
        <w:sz w:val="28"/>
        <w:szCs w:val="28"/>
      </w:rPr>
      <w:fldChar w:fldCharType="begin"/>
    </w:r>
    <w:r>
      <w:rPr>
        <w:rStyle w:val="11"/>
        <w:rFonts w:ascii="宋体" w:hAnsi="宋体" w:eastAsia="宋体"/>
        <w:sz w:val="28"/>
        <w:szCs w:val="28"/>
      </w:rPr>
      <w:instrText xml:space="preserve">PAGE  </w:instrText>
    </w:r>
    <w:r>
      <w:rPr>
        <w:rStyle w:val="11"/>
        <w:rFonts w:ascii="宋体" w:hAnsi="宋体" w:eastAsia="宋体"/>
        <w:sz w:val="28"/>
        <w:szCs w:val="28"/>
      </w:rPr>
      <w:fldChar w:fldCharType="separate"/>
    </w:r>
    <w:r>
      <w:rPr>
        <w:rStyle w:val="11"/>
        <w:rFonts w:ascii="宋体" w:hAnsi="宋体" w:eastAsia="宋体"/>
        <w:sz w:val="28"/>
        <w:szCs w:val="28"/>
      </w:rPr>
      <w:t>1</w:t>
    </w:r>
    <w:r>
      <w:rPr>
        <w:rStyle w:val="11"/>
        <w:rFonts w:ascii="宋体" w:hAnsi="宋体" w:eastAsia="宋体"/>
        <w:sz w:val="28"/>
        <w:szCs w:val="28"/>
      </w:rPr>
      <w:fldChar w:fldCharType="end"/>
    </w:r>
    <w:r>
      <w:rPr>
        <w:rStyle w:val="11"/>
        <w:rFonts w:hint="eastAsia" w:ascii="宋体" w:hAnsi="宋体" w:eastAsia="宋体"/>
        <w:sz w:val="28"/>
        <w:szCs w:val="28"/>
      </w:rPr>
      <w:t>—</w:t>
    </w:r>
  </w:p>
  <w:p w14:paraId="3D0F87DF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F867E">
    <w:pPr>
      <w:pStyle w:val="6"/>
      <w:framePr w:wrap="around" w:vAnchor="text" w:hAnchor="margin" w:xAlign="outside" w:y="1"/>
      <w:adjustRightInd w:val="0"/>
      <w:ind w:left="320" w:leftChars="100"/>
      <w:rPr>
        <w:rStyle w:val="11"/>
        <w:rFonts w:hint="eastAsia" w:ascii="宋体" w:hAnsi="宋体" w:eastAsia="宋体"/>
        <w:sz w:val="28"/>
        <w:szCs w:val="28"/>
      </w:rPr>
    </w:pPr>
    <w:r>
      <w:rPr>
        <w:rStyle w:val="11"/>
        <w:rFonts w:hint="eastAsia" w:ascii="宋体" w:hAnsi="宋体" w:eastAsia="宋体"/>
        <w:sz w:val="28"/>
        <w:szCs w:val="28"/>
      </w:rPr>
      <w:t>—</w:t>
    </w:r>
    <w:r>
      <w:rPr>
        <w:rStyle w:val="11"/>
        <w:rFonts w:ascii="宋体" w:hAnsi="宋体" w:eastAsia="宋体"/>
        <w:sz w:val="28"/>
        <w:szCs w:val="28"/>
      </w:rPr>
      <w:fldChar w:fldCharType="begin"/>
    </w:r>
    <w:r>
      <w:rPr>
        <w:rStyle w:val="11"/>
        <w:rFonts w:ascii="宋体" w:hAnsi="宋体" w:eastAsia="宋体"/>
        <w:sz w:val="28"/>
        <w:szCs w:val="28"/>
      </w:rPr>
      <w:instrText xml:space="preserve">PAGE  </w:instrText>
    </w:r>
    <w:r>
      <w:rPr>
        <w:rStyle w:val="11"/>
        <w:rFonts w:ascii="宋体" w:hAnsi="宋体" w:eastAsia="宋体"/>
        <w:sz w:val="28"/>
        <w:szCs w:val="28"/>
      </w:rPr>
      <w:fldChar w:fldCharType="separate"/>
    </w:r>
    <w:r>
      <w:rPr>
        <w:rStyle w:val="11"/>
        <w:rFonts w:ascii="宋体" w:hAnsi="宋体" w:eastAsia="宋体"/>
        <w:sz w:val="28"/>
        <w:szCs w:val="28"/>
      </w:rPr>
      <w:t>2</w:t>
    </w:r>
    <w:r>
      <w:rPr>
        <w:rStyle w:val="11"/>
        <w:rFonts w:ascii="宋体" w:hAnsi="宋体" w:eastAsia="宋体"/>
        <w:sz w:val="28"/>
        <w:szCs w:val="28"/>
      </w:rPr>
      <w:fldChar w:fldCharType="end"/>
    </w:r>
    <w:r>
      <w:rPr>
        <w:rStyle w:val="11"/>
        <w:rFonts w:hint="eastAsia" w:ascii="宋体" w:hAnsi="宋体" w:eastAsia="宋体"/>
        <w:sz w:val="28"/>
        <w:szCs w:val="28"/>
      </w:rPr>
      <w:t>—</w:t>
    </w:r>
  </w:p>
  <w:p w14:paraId="2E2FE453"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86043"/>
    <w:rsid w:val="01A86043"/>
    <w:rsid w:val="2D2575E9"/>
    <w:rsid w:val="43441DEB"/>
    <w:rsid w:val="4DB11B88"/>
    <w:rsid w:val="7C6C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560" w:firstLineChars="200"/>
    </w:pPr>
  </w:style>
  <w:style w:type="paragraph" w:styleId="3">
    <w:name w:val="Body Text"/>
    <w:basedOn w:val="1"/>
    <w:next w:val="1"/>
    <w:qFormat/>
    <w:uiPriority w:val="1"/>
    <w:pPr>
      <w:autoSpaceDE w:val="0"/>
      <w:autoSpaceDN w:val="0"/>
      <w:spacing w:before="4"/>
      <w:jc w:val="left"/>
    </w:pPr>
    <w:rPr>
      <w:rFonts w:ascii="宋体" w:hAnsi="宋体" w:cs="宋体"/>
      <w:kern w:val="0"/>
      <w:sz w:val="36"/>
      <w:szCs w:val="36"/>
      <w:lang w:val="zh-CN" w:bidi="zh-CN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hint="eastAsia"/>
    </w:rPr>
  </w:style>
  <w:style w:type="paragraph" w:styleId="5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itle"/>
    <w:next w:val="1"/>
    <w:qFormat/>
    <w:uiPriority w:val="10"/>
    <w:pPr>
      <w:widowControl w:val="0"/>
      <w:jc w:val="both"/>
      <w:outlineLvl w:val="2"/>
    </w:pPr>
    <w:rPr>
      <w:rFonts w:ascii="Calibri Light" w:hAnsi="Calibri Light" w:eastAsia="方正楷体_GBK" w:cs="Times New Roman"/>
      <w:b/>
      <w:bCs/>
      <w:kern w:val="2"/>
      <w:sz w:val="21"/>
      <w:szCs w:val="32"/>
      <w:lang w:val="en-US" w:eastAsia="zh-CN" w:bidi="ar-SA"/>
    </w:rPr>
  </w:style>
  <w:style w:type="paragraph" w:styleId="8">
    <w:name w:val="Body Text First Indent 2"/>
    <w:basedOn w:val="5"/>
    <w:next w:val="1"/>
    <w:unhideWhenUsed/>
    <w:qFormat/>
    <w:uiPriority w:val="0"/>
    <w:pPr>
      <w:ind w:firstLine="420" w:firstLineChars="200"/>
    </w:pPr>
  </w:style>
  <w:style w:type="character" w:styleId="11">
    <w:name w:val="page number"/>
    <w:basedOn w:val="10"/>
    <w:qFormat/>
    <w:uiPriority w:val="0"/>
  </w:style>
  <w:style w:type="paragraph" w:customStyle="1" w:styleId="12">
    <w:name w:val="Default"/>
    <w:basedOn w:val="13"/>
    <w:next w:val="1"/>
    <w:qFormat/>
    <w:uiPriority w:val="0"/>
    <w:pPr>
      <w:widowControl w:val="0"/>
      <w:autoSpaceDE w:val="0"/>
      <w:autoSpaceDN w:val="0"/>
      <w:adjustRightInd w:val="0"/>
    </w:pPr>
    <w:rPr>
      <w:rFonts w:ascii="方正小标宋_GBK" w:hAnsi="方正小标宋_GBK" w:eastAsia="方正小标宋_GBK"/>
      <w:color w:val="000000"/>
      <w:sz w:val="24"/>
      <w:szCs w:val="22"/>
      <w:lang w:val="en-US" w:eastAsia="zh-CN" w:bidi="ar-SA"/>
    </w:rPr>
  </w:style>
  <w:style w:type="paragraph" w:customStyle="1" w:styleId="13">
    <w:name w:val="正文1"/>
    <w:qFormat/>
    <w:uiPriority w:val="0"/>
    <w:pPr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_Style 19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8200</Words>
  <Characters>8383</Characters>
  <Lines>0</Lines>
  <Paragraphs>0</Paragraphs>
  <TotalTime>4</TotalTime>
  <ScaleCrop>false</ScaleCrop>
  <LinksUpToDate>false</LinksUpToDate>
  <CharactersWithSpaces>8961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2025-09-29T08:46:00Z</dcterms:created>
  <dc:creator>回不去的年华</dc:creator>
  <cp:lastModifiedBy>WPS_1665366107</cp:lastModifiedBy>
  <dcterms:modified xsi:type="dcterms:W3CDTF">2025-10-10T01:31:01Z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822196EC4DC146FD8F8B05AA687C9F5E_13</vt:lpwstr>
  </property>
  <property fmtid="{D5CDD505-2E9C-101B-9397-08002B2CF9AE}" pid="4" name="KSOTemplateDocerSaveRecord">
    <vt:lpwstr>eyJoZGlkIjoiYWE2OTQ5MmY0Mzc0NmQ0MWIwOTQ2NTkzYTdjNThhOTYiLCJ1c2VySWQiOiIxNDI1NjA3OTA0In0=</vt:lpwstr>
  </property>
</Properties>
</file>