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7617E4">
      <w:pPr>
        <w:spacing w:line="560" w:lineRule="exact"/>
        <w:jc w:val="center"/>
        <w:rPr>
          <w:rFonts w:ascii="华文中宋" w:hAnsi="华文中宋" w:eastAsia="华文中宋" w:cs="Times New Roman"/>
          <w:b/>
          <w:bCs/>
          <w:sz w:val="40"/>
          <w:szCs w:val="40"/>
        </w:rPr>
      </w:pPr>
    </w:p>
    <w:p w14:paraId="35153585">
      <w:pPr>
        <w:spacing w:line="560" w:lineRule="exact"/>
        <w:jc w:val="center"/>
        <w:rPr>
          <w:rFonts w:ascii="华文中宋" w:hAnsi="华文中宋" w:eastAsia="华文中宋" w:cs="Times New Roman"/>
          <w:b/>
          <w:bCs/>
          <w:sz w:val="40"/>
          <w:szCs w:val="40"/>
        </w:rPr>
      </w:pPr>
      <w:r>
        <w:rPr>
          <w:rFonts w:ascii="华文中宋" w:hAnsi="华文中宋" w:eastAsia="华文中宋" w:cs="Times New Roman"/>
          <w:b/>
          <w:bCs/>
          <w:sz w:val="40"/>
          <w:szCs w:val="40"/>
        </w:rPr>
        <w:t>翁牛特旗审计局选聘社会中介机构</w:t>
      </w:r>
    </w:p>
    <w:p w14:paraId="3B3E81B5">
      <w:pPr>
        <w:spacing w:line="560" w:lineRule="exact"/>
        <w:jc w:val="center"/>
        <w:rPr>
          <w:rFonts w:ascii="华文中宋" w:hAnsi="华文中宋" w:eastAsia="华文中宋" w:cs="Times New Roman"/>
          <w:b/>
          <w:bCs/>
          <w:sz w:val="40"/>
          <w:szCs w:val="40"/>
        </w:rPr>
      </w:pPr>
      <w:r>
        <w:rPr>
          <w:rFonts w:ascii="华文中宋" w:hAnsi="华文中宋" w:eastAsia="华文中宋" w:cs="Times New Roman"/>
          <w:b/>
          <w:bCs/>
          <w:sz w:val="40"/>
          <w:szCs w:val="40"/>
        </w:rPr>
        <w:t>参与政府投资项目审计工作付费标准</w:t>
      </w:r>
    </w:p>
    <w:p w14:paraId="5D7D5DFF">
      <w:pPr>
        <w:spacing w:line="560" w:lineRule="exact"/>
        <w:rPr>
          <w:rFonts w:ascii="Times New Roman" w:hAnsi="Times New Roman" w:eastAsia="仿宋_GB2312" w:cs="Times New Roman"/>
          <w:sz w:val="32"/>
          <w:szCs w:val="32"/>
        </w:rPr>
      </w:pPr>
    </w:p>
    <w:p w14:paraId="46FF5CDB">
      <w:pPr>
        <w:spacing w:line="560" w:lineRule="exact"/>
        <w:ind w:firstLine="643"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第一条制定依据</w:t>
      </w:r>
    </w:p>
    <w:p w14:paraId="18E6EF46">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依据《翁牛特旗审计局选聘社会中介机构参与政府投资项目审计工作管理办法》，结合</w:t>
      </w:r>
      <w:r>
        <w:rPr>
          <w:rFonts w:hint="eastAsia" w:ascii="Times New Roman" w:hAnsi="Times New Roman" w:eastAsia="仿宋_GB2312" w:cs="Times New Roman"/>
          <w:sz w:val="32"/>
          <w:szCs w:val="32"/>
        </w:rPr>
        <w:t>中介机构参与审计项目</w:t>
      </w:r>
      <w:r>
        <w:rPr>
          <w:rFonts w:ascii="Times New Roman" w:hAnsi="Times New Roman" w:eastAsia="仿宋_GB2312" w:cs="Times New Roman"/>
          <w:sz w:val="32"/>
          <w:szCs w:val="32"/>
        </w:rPr>
        <w:t>业务实际，制定本付费预算标准。</w:t>
      </w:r>
    </w:p>
    <w:p w14:paraId="1926DC1B">
      <w:pPr>
        <w:spacing w:line="560" w:lineRule="exact"/>
        <w:ind w:firstLine="643"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第二条适用范围</w:t>
      </w:r>
    </w:p>
    <w:p w14:paraId="32498DC2">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适用两类委托审计业务：政府投资项目竣工</w:t>
      </w:r>
      <w:r>
        <w:rPr>
          <w:rFonts w:hint="eastAsia" w:ascii="Times New Roman" w:hAnsi="Times New Roman" w:eastAsia="仿宋_GB2312" w:cs="Times New Roman"/>
          <w:sz w:val="32"/>
          <w:szCs w:val="32"/>
        </w:rPr>
        <w:t>结算复核</w:t>
      </w:r>
      <w:r>
        <w:rPr>
          <w:rFonts w:ascii="Times New Roman" w:hAnsi="Times New Roman" w:eastAsia="仿宋_GB2312" w:cs="Times New Roman"/>
          <w:sz w:val="32"/>
          <w:szCs w:val="32"/>
        </w:rPr>
        <w:t>审计、预算评审结果复核审计；</w:t>
      </w:r>
    </w:p>
    <w:p w14:paraId="514DEA4B">
      <w:pPr>
        <w:spacing w:line="560" w:lineRule="exact"/>
        <w:ind w:firstLine="643"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第三条计费规则</w:t>
      </w:r>
    </w:p>
    <w:p w14:paraId="063E47A6">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计费模式统一为：审计应付费用=基础付费（基本费）+效益付费（核减追加费）</w:t>
      </w:r>
      <w:r>
        <w:rPr>
          <w:rFonts w:hint="eastAsia" w:ascii="Times New Roman" w:hAnsi="Times New Roman" w:eastAsia="仿宋_GB2312" w:cs="Times New Roman"/>
          <w:sz w:val="32"/>
          <w:szCs w:val="32"/>
        </w:rPr>
        <w:t>。</w:t>
      </w:r>
    </w:p>
    <w:p w14:paraId="66795DF5">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计费基数：</w:t>
      </w:r>
    </w:p>
    <w:p w14:paraId="33AD8BE4">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基础付费</w:t>
      </w:r>
      <w:r>
        <w:rPr>
          <w:rFonts w:ascii="Times New Roman" w:hAnsi="Times New Roman" w:eastAsia="仿宋_GB2312" w:cs="Times New Roman"/>
          <w:sz w:val="32"/>
          <w:szCs w:val="32"/>
        </w:rPr>
        <w:t>以</w:t>
      </w:r>
      <w:r>
        <w:rPr>
          <w:rFonts w:hint="eastAsia" w:ascii="Times New Roman" w:hAnsi="Times New Roman" w:eastAsia="仿宋_GB2312" w:cs="Times New Roman"/>
          <w:sz w:val="32"/>
          <w:szCs w:val="32"/>
        </w:rPr>
        <w:t>工程建设项目的结算评审或预算评审送审金额为基数，</w:t>
      </w:r>
      <w:r>
        <w:rPr>
          <w:rFonts w:ascii="Times New Roman" w:hAnsi="Times New Roman" w:eastAsia="仿宋_GB2312" w:cs="Times New Roman"/>
          <w:sz w:val="32"/>
          <w:szCs w:val="32"/>
        </w:rPr>
        <w:t>分档累进计算基础费</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效益费以中介审计最终审定净核减额（核减-核增）为基数计算</w:t>
      </w:r>
      <w:r>
        <w:rPr>
          <w:rFonts w:hint="eastAsia" w:ascii="Times New Roman" w:hAnsi="Times New Roman" w:eastAsia="仿宋_GB2312" w:cs="Times New Roman"/>
          <w:sz w:val="32"/>
          <w:szCs w:val="32"/>
        </w:rPr>
        <w:t>。</w:t>
      </w:r>
    </w:p>
    <w:p w14:paraId="1D3A86A5">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3.基础付费计算方法为：</w:t>
      </w:r>
      <w:r>
        <w:rPr>
          <w:rFonts w:ascii="Times New Roman" w:hAnsi="Times New Roman" w:eastAsia="仿宋_GB2312" w:cs="Times New Roman"/>
          <w:sz w:val="32"/>
          <w:szCs w:val="32"/>
        </w:rPr>
        <w:t>付费额=∑（各分段</w:t>
      </w:r>
      <w:r>
        <w:rPr>
          <w:rFonts w:hint="eastAsia" w:ascii="Times New Roman" w:hAnsi="Times New Roman" w:eastAsia="仿宋_GB2312" w:cs="Times New Roman"/>
          <w:sz w:val="32"/>
          <w:szCs w:val="32"/>
        </w:rPr>
        <w:t>送审</w:t>
      </w:r>
      <w:r>
        <w:rPr>
          <w:rFonts w:ascii="Times New Roman" w:hAnsi="Times New Roman" w:eastAsia="仿宋_GB2312" w:cs="Times New Roman"/>
          <w:sz w:val="32"/>
          <w:szCs w:val="32"/>
        </w:rPr>
        <w:t>额×对应折算后费率）</w:t>
      </w:r>
      <w:r>
        <w:rPr>
          <w:rFonts w:hint="eastAsia" w:ascii="Times New Roman" w:hAnsi="Times New Roman" w:eastAsia="仿宋_GB2312" w:cs="Times New Roman"/>
          <w:sz w:val="32"/>
          <w:szCs w:val="32"/>
        </w:rPr>
        <w:t>；</w:t>
      </w:r>
    </w:p>
    <w:p w14:paraId="1D17CEF3">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效益付费计算方法为：</w:t>
      </w:r>
      <w:r>
        <w:rPr>
          <w:rFonts w:ascii="Times New Roman" w:hAnsi="Times New Roman" w:eastAsia="仿宋_GB2312" w:cs="Times New Roman"/>
          <w:sz w:val="32"/>
          <w:szCs w:val="32"/>
        </w:rPr>
        <w:t>付费额=∑（各分段净核减额×对应基准费率）</w:t>
      </w:r>
      <w:r>
        <w:rPr>
          <w:rFonts w:hint="eastAsia" w:ascii="Times New Roman" w:hAnsi="Times New Roman" w:eastAsia="仿宋_GB2312" w:cs="Times New Roman"/>
          <w:sz w:val="32"/>
          <w:szCs w:val="32"/>
        </w:rPr>
        <w:t>；</w:t>
      </w:r>
    </w:p>
    <w:p w14:paraId="6B13BF88">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最低计费门槛：单个项目测算付费不足3000元的，统一按3000元核定</w:t>
      </w:r>
      <w:r>
        <w:rPr>
          <w:rFonts w:hint="eastAsia" w:ascii="Times New Roman" w:hAnsi="Times New Roman" w:eastAsia="仿宋_GB2312" w:cs="Times New Roman"/>
          <w:sz w:val="32"/>
          <w:szCs w:val="32"/>
        </w:rPr>
        <w:t>。</w:t>
      </w:r>
    </w:p>
    <w:p w14:paraId="2DFC9175">
      <w:pPr>
        <w:spacing w:line="560" w:lineRule="exact"/>
        <w:ind w:firstLine="643" w:firstLineChars="2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第四条</w:t>
      </w:r>
      <w:r>
        <w:rPr>
          <w:rFonts w:hint="eastAsia" w:ascii="Times New Roman" w:hAnsi="Times New Roman" w:eastAsia="仿宋_GB2312" w:cs="Times New Roman"/>
          <w:b/>
          <w:bCs/>
          <w:sz w:val="32"/>
          <w:szCs w:val="32"/>
        </w:rPr>
        <w:t>分档费率</w:t>
      </w:r>
    </w:p>
    <w:p w14:paraId="7CB96343">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（一）基础付费基准费率（分档累进，单位：‰）</w:t>
      </w:r>
    </w:p>
    <w:tbl>
      <w:tblPr>
        <w:tblStyle w:val="15"/>
        <w:tblW w:w="7867" w:type="dxa"/>
        <w:tblCellSpacing w:w="15" w:type="dxa"/>
        <w:tblInd w:w="7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641"/>
        <w:gridCol w:w="3226"/>
      </w:tblGrid>
      <w:tr w14:paraId="2C64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Header/>
          <w:tblCellSpacing w:w="15" w:type="dxa"/>
        </w:trPr>
        <w:tc>
          <w:tcPr>
            <w:tcW w:w="4596" w:type="dxa"/>
            <w:tcBorders>
              <w:tl2br w:val="nil"/>
              <w:tr2bl w:val="nil"/>
            </w:tcBorders>
            <w:vAlign w:val="center"/>
          </w:tcPr>
          <w:p w14:paraId="59792CB7">
            <w:pPr>
              <w:spacing w:line="240" w:lineRule="atLeast"/>
              <w:jc w:val="center"/>
              <w:rPr>
                <w:rFonts w:hint="eastAsia" w:ascii="仿宋" w:hAnsi="仿宋" w:eastAsia="仿宋" w:cs="仿宋"/>
                <w:b/>
                <w:bCs/>
                <w:sz w:val="28"/>
                <w:szCs w:val="28"/>
              </w:rPr>
            </w:pPr>
            <w:r>
              <w:rPr>
                <w:rFonts w:hint="eastAsia" w:ascii="仿宋" w:hAnsi="仿宋" w:eastAsia="仿宋" w:cs="仿宋"/>
                <w:b/>
                <w:bCs/>
                <w:sz w:val="28"/>
                <w:szCs w:val="28"/>
              </w:rPr>
              <w:t>送审总投资额区间</w:t>
            </w:r>
          </w:p>
        </w:tc>
        <w:tc>
          <w:tcPr>
            <w:tcW w:w="3181" w:type="dxa"/>
            <w:tcBorders>
              <w:tl2br w:val="nil"/>
              <w:tr2bl w:val="nil"/>
            </w:tcBorders>
            <w:vAlign w:val="center"/>
          </w:tcPr>
          <w:p w14:paraId="3B4DA0E5">
            <w:pPr>
              <w:spacing w:line="240" w:lineRule="atLeast"/>
              <w:jc w:val="center"/>
              <w:rPr>
                <w:rFonts w:hint="eastAsia" w:ascii="仿宋" w:hAnsi="仿宋" w:eastAsia="仿宋" w:cs="仿宋"/>
                <w:b/>
                <w:bCs/>
                <w:sz w:val="28"/>
                <w:szCs w:val="28"/>
              </w:rPr>
            </w:pPr>
            <w:r>
              <w:rPr>
                <w:rFonts w:hint="eastAsia" w:ascii="仿宋" w:hAnsi="仿宋" w:eastAsia="仿宋" w:cs="仿宋"/>
                <w:b/>
                <w:bCs/>
                <w:sz w:val="28"/>
                <w:szCs w:val="28"/>
              </w:rPr>
              <w:t>费率</w:t>
            </w:r>
          </w:p>
        </w:tc>
      </w:tr>
      <w:tr w14:paraId="62564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tblCellSpacing w:w="15" w:type="dxa"/>
        </w:trPr>
        <w:tc>
          <w:tcPr>
            <w:tcW w:w="4596" w:type="dxa"/>
            <w:tcBorders>
              <w:tl2br w:val="nil"/>
              <w:tr2bl w:val="nil"/>
            </w:tcBorders>
            <w:vAlign w:val="center"/>
          </w:tcPr>
          <w:p w14:paraId="1B5A6773">
            <w:pPr>
              <w:spacing w:line="560" w:lineRule="exact"/>
              <w:rPr>
                <w:rFonts w:hint="eastAsia" w:ascii="仿宋" w:hAnsi="仿宋" w:eastAsia="仿宋" w:cs="仿宋"/>
                <w:sz w:val="28"/>
                <w:szCs w:val="28"/>
              </w:rPr>
            </w:pPr>
            <w:r>
              <w:rPr>
                <w:rFonts w:hint="eastAsia" w:ascii="仿宋" w:hAnsi="仿宋" w:eastAsia="仿宋" w:cs="仿宋"/>
                <w:sz w:val="28"/>
                <w:szCs w:val="28"/>
              </w:rPr>
              <w:t>300万元及以下</w:t>
            </w:r>
          </w:p>
        </w:tc>
        <w:tc>
          <w:tcPr>
            <w:tcW w:w="3181" w:type="dxa"/>
            <w:tcBorders>
              <w:tl2br w:val="nil"/>
              <w:tr2bl w:val="nil"/>
            </w:tcBorders>
            <w:vAlign w:val="center"/>
          </w:tcPr>
          <w:p w14:paraId="39ABCF9B">
            <w:pPr>
              <w:spacing w:line="560" w:lineRule="exact"/>
              <w:rPr>
                <w:rFonts w:hint="eastAsia" w:ascii="仿宋" w:hAnsi="仿宋" w:eastAsia="仿宋" w:cs="仿宋"/>
                <w:sz w:val="28"/>
                <w:szCs w:val="28"/>
              </w:rPr>
            </w:pPr>
            <w:r>
              <w:rPr>
                <w:rFonts w:hint="eastAsia" w:ascii="仿宋" w:hAnsi="仿宋" w:eastAsia="仿宋" w:cs="仿宋"/>
                <w:sz w:val="28"/>
                <w:szCs w:val="28"/>
              </w:rPr>
              <w:t>3.2‰</w:t>
            </w:r>
          </w:p>
        </w:tc>
      </w:tr>
      <w:tr w14:paraId="39F5F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CellSpacing w:w="15" w:type="dxa"/>
        </w:trPr>
        <w:tc>
          <w:tcPr>
            <w:tcW w:w="4596" w:type="dxa"/>
            <w:tcBorders>
              <w:tl2br w:val="nil"/>
              <w:tr2bl w:val="nil"/>
            </w:tcBorders>
            <w:vAlign w:val="center"/>
          </w:tcPr>
          <w:p w14:paraId="0CDAC6A2">
            <w:pPr>
              <w:spacing w:line="560" w:lineRule="exact"/>
              <w:rPr>
                <w:rFonts w:hint="eastAsia" w:ascii="仿宋" w:hAnsi="仿宋" w:eastAsia="仿宋" w:cs="仿宋"/>
                <w:sz w:val="28"/>
                <w:szCs w:val="28"/>
              </w:rPr>
            </w:pPr>
            <w:r>
              <w:rPr>
                <w:rFonts w:hint="eastAsia" w:ascii="仿宋" w:hAnsi="仿宋" w:eastAsia="仿宋" w:cs="仿宋"/>
                <w:sz w:val="28"/>
                <w:szCs w:val="28"/>
              </w:rPr>
              <w:t>300万元—500万元（含）</w:t>
            </w:r>
          </w:p>
        </w:tc>
        <w:tc>
          <w:tcPr>
            <w:tcW w:w="3181" w:type="dxa"/>
            <w:tcBorders>
              <w:tl2br w:val="nil"/>
              <w:tr2bl w:val="nil"/>
            </w:tcBorders>
            <w:vAlign w:val="center"/>
          </w:tcPr>
          <w:p w14:paraId="06F4BF9E">
            <w:pPr>
              <w:spacing w:line="560" w:lineRule="exact"/>
              <w:rPr>
                <w:rFonts w:hint="eastAsia" w:ascii="仿宋" w:hAnsi="仿宋" w:eastAsia="仿宋" w:cs="仿宋"/>
                <w:sz w:val="28"/>
                <w:szCs w:val="28"/>
              </w:rPr>
            </w:pPr>
            <w:r>
              <w:rPr>
                <w:rFonts w:hint="eastAsia" w:ascii="仿宋" w:hAnsi="仿宋" w:eastAsia="仿宋" w:cs="仿宋"/>
                <w:sz w:val="28"/>
                <w:szCs w:val="28"/>
              </w:rPr>
              <w:t>2.8‰</w:t>
            </w:r>
          </w:p>
        </w:tc>
      </w:tr>
      <w:tr w14:paraId="1F6B4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CellSpacing w:w="15" w:type="dxa"/>
        </w:trPr>
        <w:tc>
          <w:tcPr>
            <w:tcW w:w="4596" w:type="dxa"/>
            <w:tcBorders>
              <w:tl2br w:val="nil"/>
              <w:tr2bl w:val="nil"/>
            </w:tcBorders>
            <w:vAlign w:val="center"/>
          </w:tcPr>
          <w:p w14:paraId="6315E1C1">
            <w:pPr>
              <w:spacing w:line="560" w:lineRule="exact"/>
              <w:rPr>
                <w:rFonts w:hint="eastAsia" w:ascii="仿宋" w:hAnsi="仿宋" w:eastAsia="仿宋" w:cs="仿宋"/>
                <w:sz w:val="28"/>
                <w:szCs w:val="28"/>
              </w:rPr>
            </w:pPr>
            <w:r>
              <w:rPr>
                <w:rFonts w:hint="eastAsia" w:ascii="仿宋" w:hAnsi="仿宋" w:eastAsia="仿宋" w:cs="仿宋"/>
                <w:sz w:val="28"/>
                <w:szCs w:val="28"/>
              </w:rPr>
              <w:t>500万元—1000万元（含）</w:t>
            </w:r>
          </w:p>
        </w:tc>
        <w:tc>
          <w:tcPr>
            <w:tcW w:w="3181" w:type="dxa"/>
            <w:tcBorders>
              <w:tl2br w:val="nil"/>
              <w:tr2bl w:val="nil"/>
            </w:tcBorders>
            <w:vAlign w:val="center"/>
          </w:tcPr>
          <w:p w14:paraId="2B836176">
            <w:pPr>
              <w:spacing w:line="560" w:lineRule="exact"/>
              <w:rPr>
                <w:rFonts w:hint="eastAsia" w:ascii="仿宋" w:hAnsi="仿宋" w:eastAsia="仿宋" w:cs="仿宋"/>
                <w:sz w:val="28"/>
                <w:szCs w:val="28"/>
              </w:rPr>
            </w:pPr>
            <w:r>
              <w:rPr>
                <w:rFonts w:hint="eastAsia" w:ascii="仿宋" w:hAnsi="仿宋" w:eastAsia="仿宋" w:cs="仿宋"/>
                <w:sz w:val="28"/>
                <w:szCs w:val="28"/>
              </w:rPr>
              <w:t>2.4‰</w:t>
            </w:r>
          </w:p>
        </w:tc>
      </w:tr>
      <w:tr w14:paraId="5E11C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CellSpacing w:w="15" w:type="dxa"/>
        </w:trPr>
        <w:tc>
          <w:tcPr>
            <w:tcW w:w="4596" w:type="dxa"/>
            <w:tcBorders>
              <w:tl2br w:val="nil"/>
              <w:tr2bl w:val="nil"/>
            </w:tcBorders>
            <w:vAlign w:val="center"/>
          </w:tcPr>
          <w:p w14:paraId="1A025595">
            <w:pPr>
              <w:spacing w:line="560" w:lineRule="exact"/>
              <w:rPr>
                <w:rFonts w:hint="eastAsia" w:ascii="仿宋" w:hAnsi="仿宋" w:eastAsia="仿宋" w:cs="仿宋"/>
                <w:sz w:val="28"/>
                <w:szCs w:val="28"/>
              </w:rPr>
            </w:pPr>
            <w:r>
              <w:rPr>
                <w:rFonts w:hint="eastAsia" w:ascii="仿宋" w:hAnsi="仿宋" w:eastAsia="仿宋" w:cs="仿宋"/>
                <w:sz w:val="28"/>
                <w:szCs w:val="28"/>
              </w:rPr>
              <w:t>1000万元—3000万元（含）</w:t>
            </w:r>
          </w:p>
        </w:tc>
        <w:tc>
          <w:tcPr>
            <w:tcW w:w="3181" w:type="dxa"/>
            <w:tcBorders>
              <w:tl2br w:val="nil"/>
              <w:tr2bl w:val="nil"/>
            </w:tcBorders>
            <w:vAlign w:val="center"/>
          </w:tcPr>
          <w:p w14:paraId="4A190CF5">
            <w:pPr>
              <w:spacing w:line="560" w:lineRule="exact"/>
              <w:rPr>
                <w:rFonts w:hint="eastAsia" w:ascii="仿宋" w:hAnsi="仿宋" w:eastAsia="仿宋" w:cs="仿宋"/>
                <w:sz w:val="28"/>
                <w:szCs w:val="28"/>
              </w:rPr>
            </w:pPr>
            <w:r>
              <w:rPr>
                <w:rFonts w:hint="eastAsia" w:ascii="仿宋" w:hAnsi="仿宋" w:eastAsia="仿宋" w:cs="仿宋"/>
                <w:sz w:val="28"/>
                <w:szCs w:val="28"/>
              </w:rPr>
              <w:t>2.0‰</w:t>
            </w:r>
          </w:p>
        </w:tc>
      </w:tr>
      <w:tr w14:paraId="3F00D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CellSpacing w:w="15" w:type="dxa"/>
        </w:trPr>
        <w:tc>
          <w:tcPr>
            <w:tcW w:w="4596" w:type="dxa"/>
            <w:tcBorders>
              <w:tl2br w:val="nil"/>
              <w:tr2bl w:val="nil"/>
            </w:tcBorders>
            <w:vAlign w:val="center"/>
          </w:tcPr>
          <w:p w14:paraId="35440002">
            <w:pPr>
              <w:spacing w:line="560" w:lineRule="exact"/>
              <w:rPr>
                <w:rFonts w:hint="eastAsia" w:ascii="仿宋" w:hAnsi="仿宋" w:eastAsia="仿宋" w:cs="仿宋"/>
                <w:sz w:val="28"/>
                <w:szCs w:val="28"/>
              </w:rPr>
            </w:pPr>
            <w:r>
              <w:rPr>
                <w:rFonts w:hint="eastAsia" w:ascii="仿宋" w:hAnsi="仿宋" w:eastAsia="仿宋" w:cs="仿宋"/>
                <w:sz w:val="28"/>
                <w:szCs w:val="28"/>
              </w:rPr>
              <w:t>3000万元—5000万元（含）</w:t>
            </w:r>
          </w:p>
        </w:tc>
        <w:tc>
          <w:tcPr>
            <w:tcW w:w="3181" w:type="dxa"/>
            <w:tcBorders>
              <w:tl2br w:val="nil"/>
              <w:tr2bl w:val="nil"/>
            </w:tcBorders>
            <w:vAlign w:val="center"/>
          </w:tcPr>
          <w:p w14:paraId="19F2A5E5">
            <w:pPr>
              <w:spacing w:line="560" w:lineRule="exact"/>
              <w:rPr>
                <w:rFonts w:hint="eastAsia" w:ascii="仿宋" w:hAnsi="仿宋" w:eastAsia="仿宋" w:cs="仿宋"/>
                <w:sz w:val="28"/>
                <w:szCs w:val="28"/>
              </w:rPr>
            </w:pPr>
            <w:r>
              <w:rPr>
                <w:rFonts w:hint="eastAsia" w:ascii="仿宋" w:hAnsi="仿宋" w:eastAsia="仿宋" w:cs="仿宋"/>
                <w:sz w:val="28"/>
                <w:szCs w:val="28"/>
              </w:rPr>
              <w:t>1.6‰</w:t>
            </w:r>
          </w:p>
        </w:tc>
      </w:tr>
      <w:tr w14:paraId="252AF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CellSpacing w:w="15" w:type="dxa"/>
        </w:trPr>
        <w:tc>
          <w:tcPr>
            <w:tcW w:w="4596" w:type="dxa"/>
            <w:tcBorders>
              <w:tl2br w:val="nil"/>
              <w:tr2bl w:val="nil"/>
            </w:tcBorders>
            <w:vAlign w:val="center"/>
          </w:tcPr>
          <w:p w14:paraId="78F445C3">
            <w:pPr>
              <w:spacing w:line="560" w:lineRule="exact"/>
              <w:rPr>
                <w:rFonts w:hint="eastAsia" w:ascii="仿宋" w:hAnsi="仿宋" w:eastAsia="仿宋" w:cs="仿宋"/>
                <w:sz w:val="28"/>
                <w:szCs w:val="28"/>
              </w:rPr>
            </w:pPr>
            <w:r>
              <w:rPr>
                <w:rFonts w:hint="eastAsia" w:ascii="仿宋" w:hAnsi="仿宋" w:eastAsia="仿宋" w:cs="仿宋"/>
                <w:sz w:val="28"/>
                <w:szCs w:val="28"/>
              </w:rPr>
              <w:t>5000万元—1亿元（含）</w:t>
            </w:r>
          </w:p>
        </w:tc>
        <w:tc>
          <w:tcPr>
            <w:tcW w:w="3181" w:type="dxa"/>
            <w:tcBorders>
              <w:tl2br w:val="nil"/>
              <w:tr2bl w:val="nil"/>
            </w:tcBorders>
            <w:vAlign w:val="center"/>
          </w:tcPr>
          <w:p w14:paraId="511AA367">
            <w:pPr>
              <w:spacing w:line="560" w:lineRule="exact"/>
              <w:rPr>
                <w:rFonts w:hint="eastAsia" w:ascii="仿宋" w:hAnsi="仿宋" w:eastAsia="仿宋" w:cs="仿宋"/>
                <w:sz w:val="28"/>
                <w:szCs w:val="28"/>
              </w:rPr>
            </w:pPr>
            <w:r>
              <w:rPr>
                <w:rFonts w:hint="eastAsia" w:ascii="仿宋" w:hAnsi="仿宋" w:eastAsia="仿宋" w:cs="仿宋"/>
                <w:sz w:val="28"/>
                <w:szCs w:val="28"/>
              </w:rPr>
              <w:t>1.2‰</w:t>
            </w:r>
          </w:p>
        </w:tc>
      </w:tr>
      <w:tr w14:paraId="436E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CellSpacing w:w="15" w:type="dxa"/>
        </w:trPr>
        <w:tc>
          <w:tcPr>
            <w:tcW w:w="4596" w:type="dxa"/>
            <w:tcBorders>
              <w:tl2br w:val="nil"/>
              <w:tr2bl w:val="nil"/>
            </w:tcBorders>
            <w:vAlign w:val="center"/>
          </w:tcPr>
          <w:p w14:paraId="62D2985C">
            <w:pPr>
              <w:spacing w:line="560" w:lineRule="exact"/>
              <w:rPr>
                <w:rFonts w:hint="eastAsia" w:ascii="仿宋" w:hAnsi="仿宋" w:eastAsia="仿宋" w:cs="仿宋"/>
                <w:sz w:val="28"/>
                <w:szCs w:val="28"/>
              </w:rPr>
            </w:pPr>
            <w:r>
              <w:rPr>
                <w:rFonts w:hint="eastAsia" w:ascii="仿宋" w:hAnsi="仿宋" w:eastAsia="仿宋" w:cs="仿宋"/>
                <w:sz w:val="28"/>
                <w:szCs w:val="28"/>
              </w:rPr>
              <w:t>1亿元—10亿元（含）</w:t>
            </w:r>
          </w:p>
        </w:tc>
        <w:tc>
          <w:tcPr>
            <w:tcW w:w="3181" w:type="dxa"/>
            <w:tcBorders>
              <w:tl2br w:val="nil"/>
              <w:tr2bl w:val="nil"/>
            </w:tcBorders>
            <w:vAlign w:val="center"/>
          </w:tcPr>
          <w:p w14:paraId="114D21CC">
            <w:pPr>
              <w:spacing w:line="560" w:lineRule="exact"/>
              <w:rPr>
                <w:rFonts w:hint="eastAsia" w:ascii="仿宋" w:hAnsi="仿宋" w:eastAsia="仿宋" w:cs="仿宋"/>
                <w:sz w:val="28"/>
                <w:szCs w:val="28"/>
              </w:rPr>
            </w:pPr>
            <w:r>
              <w:rPr>
                <w:rFonts w:hint="eastAsia" w:ascii="仿宋" w:hAnsi="仿宋" w:eastAsia="仿宋" w:cs="仿宋"/>
                <w:sz w:val="28"/>
                <w:szCs w:val="28"/>
              </w:rPr>
              <w:t>0.8‰</w:t>
            </w:r>
          </w:p>
        </w:tc>
      </w:tr>
      <w:tr w14:paraId="7B3B2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CellSpacing w:w="15" w:type="dxa"/>
        </w:trPr>
        <w:tc>
          <w:tcPr>
            <w:tcW w:w="4596" w:type="dxa"/>
            <w:tcBorders>
              <w:tl2br w:val="nil"/>
              <w:tr2bl w:val="nil"/>
            </w:tcBorders>
            <w:vAlign w:val="center"/>
          </w:tcPr>
          <w:p w14:paraId="27F91BDC">
            <w:pPr>
              <w:spacing w:line="560" w:lineRule="exact"/>
              <w:rPr>
                <w:rFonts w:hint="eastAsia" w:ascii="仿宋" w:hAnsi="仿宋" w:eastAsia="仿宋" w:cs="仿宋"/>
                <w:sz w:val="28"/>
                <w:szCs w:val="28"/>
              </w:rPr>
            </w:pPr>
            <w:r>
              <w:rPr>
                <w:rFonts w:hint="eastAsia" w:ascii="仿宋" w:hAnsi="仿宋" w:eastAsia="仿宋" w:cs="仿宋"/>
                <w:sz w:val="28"/>
                <w:szCs w:val="28"/>
              </w:rPr>
              <w:t>10亿元以上</w:t>
            </w:r>
          </w:p>
        </w:tc>
        <w:tc>
          <w:tcPr>
            <w:tcW w:w="3181" w:type="dxa"/>
            <w:tcBorders>
              <w:tl2br w:val="nil"/>
              <w:tr2bl w:val="nil"/>
            </w:tcBorders>
            <w:vAlign w:val="center"/>
          </w:tcPr>
          <w:p w14:paraId="498308C1">
            <w:pPr>
              <w:spacing w:line="560" w:lineRule="exact"/>
              <w:rPr>
                <w:rFonts w:hint="eastAsia" w:ascii="仿宋" w:hAnsi="仿宋" w:eastAsia="仿宋" w:cs="仿宋"/>
                <w:sz w:val="28"/>
                <w:szCs w:val="28"/>
              </w:rPr>
            </w:pPr>
            <w:r>
              <w:rPr>
                <w:rFonts w:hint="eastAsia" w:ascii="仿宋" w:hAnsi="仿宋" w:eastAsia="仿宋" w:cs="仿宋"/>
                <w:sz w:val="28"/>
                <w:szCs w:val="28"/>
              </w:rPr>
              <w:t>0.4‰</w:t>
            </w:r>
          </w:p>
        </w:tc>
      </w:tr>
    </w:tbl>
    <w:p w14:paraId="72372A1A">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（二）效益付费基准费率（净核减额分档累进，单位：%）</w:t>
      </w:r>
    </w:p>
    <w:tbl>
      <w:tblPr>
        <w:tblStyle w:val="15"/>
        <w:tblW w:w="4255" w:type="pct"/>
        <w:tblInd w:w="872"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autofit"/>
        <w:tblCellMar>
          <w:top w:w="15" w:type="dxa"/>
          <w:left w:w="15" w:type="dxa"/>
          <w:bottom w:w="15" w:type="dxa"/>
          <w:right w:w="15" w:type="dxa"/>
        </w:tblCellMar>
      </w:tblPr>
      <w:tblGrid>
        <w:gridCol w:w="3759"/>
        <w:gridCol w:w="3971"/>
      </w:tblGrid>
      <w:tr w14:paraId="1A5278D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15" w:type="dxa"/>
            <w:left w:w="15" w:type="dxa"/>
            <w:bottom w:w="15" w:type="dxa"/>
            <w:right w:w="15" w:type="dxa"/>
          </w:tblCellMar>
        </w:tblPrEx>
        <w:trPr>
          <w:tblHeader/>
        </w:trPr>
        <w:tc>
          <w:tcPr>
            <w:tcW w:w="2431" w:type="pct"/>
            <w:tcBorders>
              <w:tl2br w:val="nil"/>
              <w:tr2bl w:val="nil"/>
            </w:tcBorders>
            <w:tcMar>
              <w:top w:w="120" w:type="dxa"/>
              <w:left w:w="120" w:type="dxa"/>
              <w:bottom w:w="120" w:type="dxa"/>
              <w:right w:w="120" w:type="dxa"/>
            </w:tcMar>
            <w:vAlign w:val="center"/>
          </w:tcPr>
          <w:p w14:paraId="6DB1461C">
            <w:pPr>
              <w:spacing w:line="560" w:lineRule="exact"/>
              <w:jc w:val="center"/>
              <w:rPr>
                <w:rFonts w:hint="eastAsia" w:ascii="仿宋" w:hAnsi="仿宋" w:eastAsia="仿宋" w:cs="仿宋"/>
                <w:sz w:val="28"/>
                <w:szCs w:val="28"/>
              </w:rPr>
            </w:pPr>
            <w:r>
              <w:rPr>
                <w:rFonts w:hint="eastAsia" w:ascii="仿宋" w:hAnsi="仿宋" w:eastAsia="仿宋" w:cs="仿宋"/>
                <w:sz w:val="28"/>
                <w:szCs w:val="28"/>
              </w:rPr>
              <w:t>审计净核减额分档区间</w:t>
            </w:r>
          </w:p>
        </w:tc>
        <w:tc>
          <w:tcPr>
            <w:tcW w:w="2568" w:type="pct"/>
            <w:tcBorders>
              <w:tl2br w:val="nil"/>
              <w:tr2bl w:val="nil"/>
            </w:tcBorders>
            <w:tcMar>
              <w:top w:w="120" w:type="dxa"/>
              <w:left w:w="120" w:type="dxa"/>
              <w:bottom w:w="120" w:type="dxa"/>
              <w:right w:w="120" w:type="dxa"/>
            </w:tcMar>
            <w:vAlign w:val="center"/>
          </w:tcPr>
          <w:p w14:paraId="171491C0">
            <w:pPr>
              <w:spacing w:line="560" w:lineRule="exact"/>
              <w:jc w:val="center"/>
              <w:rPr>
                <w:rFonts w:hint="eastAsia" w:ascii="仿宋" w:hAnsi="仿宋" w:eastAsia="仿宋" w:cs="仿宋"/>
                <w:sz w:val="28"/>
                <w:szCs w:val="28"/>
              </w:rPr>
            </w:pPr>
            <w:r>
              <w:rPr>
                <w:rFonts w:hint="eastAsia" w:ascii="仿宋" w:hAnsi="仿宋" w:eastAsia="仿宋" w:cs="仿宋"/>
                <w:sz w:val="28"/>
                <w:szCs w:val="28"/>
              </w:rPr>
              <w:t>费率</w:t>
            </w:r>
          </w:p>
        </w:tc>
      </w:tr>
      <w:tr w14:paraId="6A1A27C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15" w:type="dxa"/>
            <w:left w:w="15" w:type="dxa"/>
            <w:bottom w:w="15" w:type="dxa"/>
            <w:right w:w="15" w:type="dxa"/>
          </w:tblCellMar>
        </w:tblPrEx>
        <w:tc>
          <w:tcPr>
            <w:tcW w:w="2431" w:type="pct"/>
            <w:tcBorders>
              <w:tl2br w:val="nil"/>
              <w:tr2bl w:val="nil"/>
            </w:tcBorders>
            <w:tcMar>
              <w:top w:w="120" w:type="dxa"/>
              <w:left w:w="120" w:type="dxa"/>
              <w:bottom w:w="120" w:type="dxa"/>
              <w:right w:w="120" w:type="dxa"/>
            </w:tcMar>
            <w:vAlign w:val="center"/>
          </w:tcPr>
          <w:p w14:paraId="09D87EB7">
            <w:pPr>
              <w:spacing w:line="560" w:lineRule="exact"/>
              <w:jc w:val="left"/>
              <w:rPr>
                <w:rFonts w:hint="eastAsia" w:ascii="仿宋" w:hAnsi="仿宋" w:eastAsia="仿宋" w:cs="仿宋"/>
                <w:sz w:val="28"/>
                <w:szCs w:val="28"/>
              </w:rPr>
            </w:pPr>
            <w:r>
              <w:rPr>
                <w:rFonts w:hint="eastAsia" w:ascii="仿宋" w:hAnsi="仿宋" w:eastAsia="仿宋" w:cs="仿宋"/>
                <w:sz w:val="28"/>
                <w:szCs w:val="28"/>
              </w:rPr>
              <w:t>50万元及以下</w:t>
            </w:r>
          </w:p>
        </w:tc>
        <w:tc>
          <w:tcPr>
            <w:tcW w:w="2568" w:type="pct"/>
            <w:tcBorders>
              <w:tl2br w:val="nil"/>
              <w:tr2bl w:val="nil"/>
            </w:tcBorders>
            <w:tcMar>
              <w:top w:w="120" w:type="dxa"/>
              <w:left w:w="120" w:type="dxa"/>
              <w:bottom w:w="120" w:type="dxa"/>
              <w:right w:w="120" w:type="dxa"/>
            </w:tcMar>
            <w:vAlign w:val="center"/>
          </w:tcPr>
          <w:p w14:paraId="7C4FDAE1">
            <w:pPr>
              <w:spacing w:line="560" w:lineRule="exact"/>
              <w:jc w:val="left"/>
              <w:rPr>
                <w:rFonts w:hint="eastAsia" w:ascii="仿宋" w:hAnsi="仿宋" w:eastAsia="仿宋" w:cs="仿宋"/>
                <w:sz w:val="28"/>
                <w:szCs w:val="28"/>
              </w:rPr>
            </w:pPr>
            <w:r>
              <w:rPr>
                <w:rFonts w:hint="eastAsia" w:ascii="仿宋" w:hAnsi="仿宋" w:eastAsia="仿宋" w:cs="仿宋"/>
                <w:sz w:val="28"/>
                <w:szCs w:val="28"/>
              </w:rPr>
              <w:t>5.0%</w:t>
            </w:r>
          </w:p>
        </w:tc>
      </w:tr>
      <w:tr w14:paraId="54A1E6F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15" w:type="dxa"/>
            <w:left w:w="15" w:type="dxa"/>
            <w:bottom w:w="15" w:type="dxa"/>
            <w:right w:w="15" w:type="dxa"/>
          </w:tblCellMar>
        </w:tblPrEx>
        <w:tc>
          <w:tcPr>
            <w:tcW w:w="2431" w:type="pct"/>
            <w:tcBorders>
              <w:tl2br w:val="nil"/>
              <w:tr2bl w:val="nil"/>
            </w:tcBorders>
            <w:tcMar>
              <w:top w:w="120" w:type="dxa"/>
              <w:left w:w="120" w:type="dxa"/>
              <w:bottom w:w="120" w:type="dxa"/>
              <w:right w:w="120" w:type="dxa"/>
            </w:tcMar>
            <w:vAlign w:val="center"/>
          </w:tcPr>
          <w:p w14:paraId="7F69DDF8">
            <w:pPr>
              <w:spacing w:line="560" w:lineRule="exact"/>
              <w:jc w:val="left"/>
              <w:rPr>
                <w:rFonts w:hint="eastAsia" w:ascii="仿宋" w:hAnsi="仿宋" w:eastAsia="仿宋" w:cs="仿宋"/>
                <w:sz w:val="28"/>
                <w:szCs w:val="28"/>
              </w:rPr>
            </w:pPr>
            <w:r>
              <w:rPr>
                <w:rFonts w:hint="eastAsia" w:ascii="仿宋" w:hAnsi="仿宋" w:eastAsia="仿宋" w:cs="仿宋"/>
                <w:sz w:val="28"/>
                <w:szCs w:val="28"/>
              </w:rPr>
              <w:t>50万元—100万元（含）</w:t>
            </w:r>
          </w:p>
        </w:tc>
        <w:tc>
          <w:tcPr>
            <w:tcW w:w="2568" w:type="pct"/>
            <w:tcBorders>
              <w:tl2br w:val="nil"/>
              <w:tr2bl w:val="nil"/>
            </w:tcBorders>
            <w:tcMar>
              <w:top w:w="120" w:type="dxa"/>
              <w:left w:w="120" w:type="dxa"/>
              <w:bottom w:w="120" w:type="dxa"/>
              <w:right w:w="120" w:type="dxa"/>
            </w:tcMar>
            <w:vAlign w:val="center"/>
          </w:tcPr>
          <w:p w14:paraId="3A05E78E">
            <w:pPr>
              <w:spacing w:line="560" w:lineRule="exact"/>
              <w:jc w:val="left"/>
              <w:rPr>
                <w:rFonts w:hint="eastAsia" w:ascii="仿宋" w:hAnsi="仿宋" w:eastAsia="仿宋" w:cs="仿宋"/>
                <w:sz w:val="28"/>
                <w:szCs w:val="28"/>
              </w:rPr>
            </w:pPr>
            <w:r>
              <w:rPr>
                <w:rFonts w:hint="eastAsia" w:ascii="仿宋" w:hAnsi="仿宋" w:eastAsia="仿宋" w:cs="仿宋"/>
                <w:sz w:val="28"/>
                <w:szCs w:val="28"/>
              </w:rPr>
              <w:t>4.5%</w:t>
            </w:r>
          </w:p>
        </w:tc>
      </w:tr>
      <w:tr w14:paraId="020D449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15" w:type="dxa"/>
            <w:left w:w="15" w:type="dxa"/>
            <w:bottom w:w="15" w:type="dxa"/>
            <w:right w:w="15" w:type="dxa"/>
          </w:tblCellMar>
        </w:tblPrEx>
        <w:tc>
          <w:tcPr>
            <w:tcW w:w="2431" w:type="pct"/>
            <w:tcBorders>
              <w:tl2br w:val="nil"/>
              <w:tr2bl w:val="nil"/>
            </w:tcBorders>
            <w:tcMar>
              <w:top w:w="120" w:type="dxa"/>
              <w:left w:w="120" w:type="dxa"/>
              <w:bottom w:w="120" w:type="dxa"/>
              <w:right w:w="120" w:type="dxa"/>
            </w:tcMar>
            <w:vAlign w:val="center"/>
          </w:tcPr>
          <w:p w14:paraId="17D50E3A">
            <w:pPr>
              <w:spacing w:line="560" w:lineRule="exact"/>
              <w:jc w:val="left"/>
              <w:rPr>
                <w:rFonts w:hint="eastAsia" w:ascii="仿宋" w:hAnsi="仿宋" w:eastAsia="仿宋" w:cs="仿宋"/>
                <w:sz w:val="28"/>
                <w:szCs w:val="28"/>
              </w:rPr>
            </w:pPr>
            <w:r>
              <w:rPr>
                <w:rFonts w:hint="eastAsia" w:ascii="仿宋" w:hAnsi="仿宋" w:eastAsia="仿宋" w:cs="仿宋"/>
                <w:sz w:val="28"/>
                <w:szCs w:val="28"/>
              </w:rPr>
              <w:t>100万元—300万元（含）</w:t>
            </w:r>
          </w:p>
        </w:tc>
        <w:tc>
          <w:tcPr>
            <w:tcW w:w="2568" w:type="pct"/>
            <w:tcBorders>
              <w:tl2br w:val="nil"/>
              <w:tr2bl w:val="nil"/>
            </w:tcBorders>
            <w:tcMar>
              <w:top w:w="120" w:type="dxa"/>
              <w:left w:w="120" w:type="dxa"/>
              <w:bottom w:w="120" w:type="dxa"/>
              <w:right w:w="120" w:type="dxa"/>
            </w:tcMar>
            <w:vAlign w:val="center"/>
          </w:tcPr>
          <w:p w14:paraId="460C48BC">
            <w:pPr>
              <w:spacing w:line="560" w:lineRule="exact"/>
              <w:jc w:val="left"/>
              <w:rPr>
                <w:rFonts w:hint="eastAsia" w:ascii="仿宋" w:hAnsi="仿宋" w:eastAsia="仿宋" w:cs="仿宋"/>
                <w:sz w:val="28"/>
                <w:szCs w:val="28"/>
              </w:rPr>
            </w:pPr>
            <w:r>
              <w:rPr>
                <w:rFonts w:hint="eastAsia" w:ascii="仿宋" w:hAnsi="仿宋" w:eastAsia="仿宋" w:cs="仿宋"/>
                <w:sz w:val="28"/>
                <w:szCs w:val="28"/>
              </w:rPr>
              <w:t>4.0%</w:t>
            </w:r>
          </w:p>
        </w:tc>
      </w:tr>
      <w:tr w14:paraId="514D87A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15" w:type="dxa"/>
            <w:left w:w="15" w:type="dxa"/>
            <w:bottom w:w="15" w:type="dxa"/>
            <w:right w:w="15" w:type="dxa"/>
          </w:tblCellMar>
        </w:tblPrEx>
        <w:tc>
          <w:tcPr>
            <w:tcW w:w="2431" w:type="pct"/>
            <w:tcBorders>
              <w:tl2br w:val="nil"/>
              <w:tr2bl w:val="nil"/>
            </w:tcBorders>
            <w:tcMar>
              <w:top w:w="120" w:type="dxa"/>
              <w:left w:w="120" w:type="dxa"/>
              <w:bottom w:w="120" w:type="dxa"/>
              <w:right w:w="120" w:type="dxa"/>
            </w:tcMar>
            <w:vAlign w:val="center"/>
          </w:tcPr>
          <w:p w14:paraId="60C122ED">
            <w:pPr>
              <w:spacing w:line="560" w:lineRule="exact"/>
              <w:jc w:val="left"/>
              <w:rPr>
                <w:rFonts w:hint="eastAsia" w:ascii="仿宋" w:hAnsi="仿宋" w:eastAsia="仿宋" w:cs="仿宋"/>
                <w:sz w:val="28"/>
                <w:szCs w:val="28"/>
              </w:rPr>
            </w:pPr>
            <w:r>
              <w:rPr>
                <w:rFonts w:hint="eastAsia" w:ascii="仿宋" w:hAnsi="仿宋" w:eastAsia="仿宋" w:cs="仿宋"/>
                <w:sz w:val="28"/>
                <w:szCs w:val="28"/>
              </w:rPr>
              <w:t>300万元—500万元（含）</w:t>
            </w:r>
          </w:p>
        </w:tc>
        <w:tc>
          <w:tcPr>
            <w:tcW w:w="2568" w:type="pct"/>
            <w:tcBorders>
              <w:tl2br w:val="nil"/>
              <w:tr2bl w:val="nil"/>
            </w:tcBorders>
            <w:tcMar>
              <w:top w:w="120" w:type="dxa"/>
              <w:left w:w="120" w:type="dxa"/>
              <w:bottom w:w="120" w:type="dxa"/>
              <w:right w:w="120" w:type="dxa"/>
            </w:tcMar>
            <w:vAlign w:val="center"/>
          </w:tcPr>
          <w:p w14:paraId="3076F0F7">
            <w:pPr>
              <w:spacing w:line="560" w:lineRule="exact"/>
              <w:jc w:val="left"/>
              <w:rPr>
                <w:rFonts w:hint="eastAsia" w:ascii="仿宋" w:hAnsi="仿宋" w:eastAsia="仿宋" w:cs="仿宋"/>
                <w:sz w:val="28"/>
                <w:szCs w:val="28"/>
              </w:rPr>
            </w:pPr>
            <w:r>
              <w:rPr>
                <w:rFonts w:hint="eastAsia" w:ascii="仿宋" w:hAnsi="仿宋" w:eastAsia="仿宋" w:cs="仿宋"/>
                <w:sz w:val="28"/>
                <w:szCs w:val="28"/>
              </w:rPr>
              <w:t>3.5%</w:t>
            </w:r>
          </w:p>
        </w:tc>
      </w:tr>
      <w:tr w14:paraId="350154B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15" w:type="dxa"/>
            <w:left w:w="15" w:type="dxa"/>
            <w:bottom w:w="15" w:type="dxa"/>
            <w:right w:w="15" w:type="dxa"/>
          </w:tblCellMar>
        </w:tblPrEx>
        <w:tc>
          <w:tcPr>
            <w:tcW w:w="2431" w:type="pct"/>
            <w:tcBorders>
              <w:tl2br w:val="nil"/>
              <w:tr2bl w:val="nil"/>
            </w:tcBorders>
            <w:tcMar>
              <w:top w:w="120" w:type="dxa"/>
              <w:left w:w="120" w:type="dxa"/>
              <w:bottom w:w="120" w:type="dxa"/>
              <w:right w:w="120" w:type="dxa"/>
            </w:tcMar>
            <w:vAlign w:val="center"/>
          </w:tcPr>
          <w:p w14:paraId="7F2CA6DD">
            <w:pPr>
              <w:spacing w:line="560" w:lineRule="exact"/>
              <w:jc w:val="left"/>
              <w:rPr>
                <w:rFonts w:hint="eastAsia" w:ascii="仿宋" w:hAnsi="仿宋" w:eastAsia="仿宋" w:cs="仿宋"/>
                <w:sz w:val="28"/>
                <w:szCs w:val="28"/>
              </w:rPr>
            </w:pPr>
            <w:r>
              <w:rPr>
                <w:rFonts w:hint="eastAsia" w:ascii="仿宋" w:hAnsi="仿宋" w:eastAsia="仿宋" w:cs="仿宋"/>
                <w:sz w:val="28"/>
                <w:szCs w:val="28"/>
              </w:rPr>
              <w:t>500万元—1000万元（含）</w:t>
            </w:r>
          </w:p>
        </w:tc>
        <w:tc>
          <w:tcPr>
            <w:tcW w:w="2568" w:type="pct"/>
            <w:tcBorders>
              <w:tl2br w:val="nil"/>
              <w:tr2bl w:val="nil"/>
            </w:tcBorders>
            <w:tcMar>
              <w:top w:w="120" w:type="dxa"/>
              <w:left w:w="120" w:type="dxa"/>
              <w:bottom w:w="120" w:type="dxa"/>
              <w:right w:w="120" w:type="dxa"/>
            </w:tcMar>
            <w:vAlign w:val="center"/>
          </w:tcPr>
          <w:p w14:paraId="757E5D63">
            <w:pPr>
              <w:spacing w:line="560" w:lineRule="exact"/>
              <w:jc w:val="left"/>
              <w:rPr>
                <w:rFonts w:hint="eastAsia" w:ascii="仿宋" w:hAnsi="仿宋" w:eastAsia="仿宋" w:cs="仿宋"/>
                <w:sz w:val="28"/>
                <w:szCs w:val="28"/>
              </w:rPr>
            </w:pPr>
            <w:r>
              <w:rPr>
                <w:rFonts w:hint="eastAsia" w:ascii="仿宋" w:hAnsi="仿宋" w:eastAsia="仿宋" w:cs="仿宋"/>
                <w:sz w:val="28"/>
                <w:szCs w:val="28"/>
              </w:rPr>
              <w:t>3.0%</w:t>
            </w:r>
          </w:p>
        </w:tc>
      </w:tr>
      <w:tr w14:paraId="53B36FEE">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15" w:type="dxa"/>
            <w:left w:w="15" w:type="dxa"/>
            <w:bottom w:w="15" w:type="dxa"/>
            <w:right w:w="15" w:type="dxa"/>
          </w:tblCellMar>
        </w:tblPrEx>
        <w:tc>
          <w:tcPr>
            <w:tcW w:w="2431" w:type="pct"/>
            <w:tcBorders>
              <w:tl2br w:val="nil"/>
              <w:tr2bl w:val="nil"/>
            </w:tcBorders>
            <w:tcMar>
              <w:top w:w="120" w:type="dxa"/>
              <w:left w:w="120" w:type="dxa"/>
              <w:bottom w:w="120" w:type="dxa"/>
              <w:right w:w="120" w:type="dxa"/>
            </w:tcMar>
            <w:vAlign w:val="center"/>
          </w:tcPr>
          <w:p w14:paraId="1196D5E2">
            <w:pPr>
              <w:spacing w:line="560" w:lineRule="exact"/>
              <w:jc w:val="left"/>
              <w:rPr>
                <w:rFonts w:hint="eastAsia" w:ascii="仿宋" w:hAnsi="仿宋" w:eastAsia="仿宋" w:cs="仿宋"/>
                <w:sz w:val="28"/>
                <w:szCs w:val="28"/>
              </w:rPr>
            </w:pPr>
            <w:r>
              <w:rPr>
                <w:rFonts w:hint="eastAsia" w:ascii="仿宋" w:hAnsi="仿宋" w:eastAsia="仿宋" w:cs="仿宋"/>
                <w:sz w:val="28"/>
                <w:szCs w:val="28"/>
              </w:rPr>
              <w:t>1000万元</w:t>
            </w:r>
          </w:p>
        </w:tc>
        <w:tc>
          <w:tcPr>
            <w:tcW w:w="2568" w:type="pct"/>
            <w:tcBorders>
              <w:tl2br w:val="nil"/>
              <w:tr2bl w:val="nil"/>
            </w:tcBorders>
            <w:tcMar>
              <w:top w:w="120" w:type="dxa"/>
              <w:left w:w="120" w:type="dxa"/>
              <w:bottom w:w="120" w:type="dxa"/>
              <w:right w:w="120" w:type="dxa"/>
            </w:tcMar>
            <w:vAlign w:val="center"/>
          </w:tcPr>
          <w:p w14:paraId="23E2C435">
            <w:pPr>
              <w:spacing w:line="560" w:lineRule="exact"/>
              <w:jc w:val="left"/>
              <w:rPr>
                <w:rFonts w:hint="eastAsia" w:ascii="仿宋" w:hAnsi="仿宋" w:eastAsia="仿宋" w:cs="仿宋"/>
                <w:sz w:val="28"/>
                <w:szCs w:val="28"/>
              </w:rPr>
            </w:pPr>
            <w:r>
              <w:rPr>
                <w:rFonts w:hint="eastAsia" w:ascii="仿宋" w:hAnsi="仿宋" w:eastAsia="仿宋" w:cs="仿宋"/>
                <w:sz w:val="28"/>
                <w:szCs w:val="28"/>
              </w:rPr>
              <w:t>2.5%</w:t>
            </w:r>
          </w:p>
        </w:tc>
      </w:tr>
    </w:tbl>
    <w:p w14:paraId="7663E90B">
      <w:pPr>
        <w:spacing w:line="560" w:lineRule="exact"/>
        <w:ind w:firstLine="640" w:firstLineChars="200"/>
        <w:rPr>
          <w:rFonts w:ascii="Times New Roman" w:hAnsi="Times New Roman" w:eastAsia="仿宋_GB2312" w:cs="Times New Roman"/>
          <w:sz w:val="32"/>
          <w:szCs w:val="32"/>
        </w:rPr>
      </w:pPr>
      <w:bookmarkStart w:id="0" w:name="_GoBack"/>
      <w:bookmarkEnd w:id="0"/>
    </w:p>
    <w:sectPr>
      <w:pgSz w:w="11906" w:h="16838"/>
      <w:pgMar w:top="2098" w:right="1474" w:bottom="1985" w:left="1588"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318"/>
    <w:rsid w:val="0010414B"/>
    <w:rsid w:val="00124F95"/>
    <w:rsid w:val="002425EF"/>
    <w:rsid w:val="002508EF"/>
    <w:rsid w:val="00265310"/>
    <w:rsid w:val="002741AA"/>
    <w:rsid w:val="002B2E83"/>
    <w:rsid w:val="003270EF"/>
    <w:rsid w:val="003409E0"/>
    <w:rsid w:val="003C5279"/>
    <w:rsid w:val="00436492"/>
    <w:rsid w:val="0046266C"/>
    <w:rsid w:val="004C6B09"/>
    <w:rsid w:val="00500A62"/>
    <w:rsid w:val="00543E6B"/>
    <w:rsid w:val="0063227D"/>
    <w:rsid w:val="006775AA"/>
    <w:rsid w:val="00710DF4"/>
    <w:rsid w:val="00755C36"/>
    <w:rsid w:val="00783B62"/>
    <w:rsid w:val="007F55FF"/>
    <w:rsid w:val="00824DA3"/>
    <w:rsid w:val="00870998"/>
    <w:rsid w:val="008B6B9E"/>
    <w:rsid w:val="008D2257"/>
    <w:rsid w:val="00914914"/>
    <w:rsid w:val="009633DE"/>
    <w:rsid w:val="00964F9B"/>
    <w:rsid w:val="009F11EB"/>
    <w:rsid w:val="00A00B77"/>
    <w:rsid w:val="00B07022"/>
    <w:rsid w:val="00B57318"/>
    <w:rsid w:val="00BC7C48"/>
    <w:rsid w:val="00D966BB"/>
    <w:rsid w:val="00DA38EA"/>
    <w:rsid w:val="00E90985"/>
    <w:rsid w:val="00EE1B0D"/>
    <w:rsid w:val="00EF15BB"/>
    <w:rsid w:val="00FD61AA"/>
    <w:rsid w:val="5F7750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semiHidden/>
    <w:unhideWhenUsed/>
    <w:uiPriority w:val="99"/>
    <w:pPr>
      <w:tabs>
        <w:tab w:val="center" w:pos="4153"/>
        <w:tab w:val="right" w:pos="8306"/>
      </w:tabs>
      <w:snapToGrid w:val="0"/>
      <w:jc w:val="left"/>
    </w:pPr>
    <w:rPr>
      <w:sz w:val="18"/>
      <w:szCs w:val="18"/>
    </w:rPr>
  </w:style>
  <w:style w:type="paragraph" w:styleId="12">
    <w:name w:val="header"/>
    <w:basedOn w:val="1"/>
    <w:link w:val="35"/>
    <w:semiHidden/>
    <w:unhideWhenUsed/>
    <w:uiPriority w:val="99"/>
    <w:pPr>
      <w:pBdr>
        <w:bottom w:val="single" w:color="auto" w:sz="6" w:space="1"/>
      </w:pBd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Char"/>
    <w:basedOn w:val="16"/>
    <w:link w:val="2"/>
    <w:uiPriority w:val="9"/>
    <w:rPr>
      <w:rFonts w:asciiTheme="majorHAnsi" w:hAnsiTheme="majorHAnsi" w:eastAsiaTheme="majorEastAsia" w:cstheme="majorBidi"/>
      <w:color w:val="0F4761" w:themeColor="accent1" w:themeShade="BF"/>
      <w:sz w:val="48"/>
      <w:szCs w:val="48"/>
    </w:rPr>
  </w:style>
  <w:style w:type="character" w:customStyle="1" w:styleId="18">
    <w:name w:val="标题 2 Char"/>
    <w:basedOn w:val="16"/>
    <w:link w:val="3"/>
    <w:semiHidden/>
    <w:uiPriority w:val="9"/>
    <w:rPr>
      <w:rFonts w:asciiTheme="majorHAnsi" w:hAnsiTheme="majorHAnsi" w:eastAsiaTheme="majorEastAsia" w:cstheme="majorBidi"/>
      <w:color w:val="0F4761" w:themeColor="accent1" w:themeShade="BF"/>
      <w:sz w:val="40"/>
      <w:szCs w:val="40"/>
    </w:rPr>
  </w:style>
  <w:style w:type="character" w:customStyle="1" w:styleId="19">
    <w:name w:val="标题 3 Char"/>
    <w:basedOn w:val="16"/>
    <w:link w:val="4"/>
    <w:semiHidden/>
    <w:uiPriority w:val="9"/>
    <w:rPr>
      <w:rFonts w:asciiTheme="majorHAnsi" w:hAnsiTheme="majorHAnsi" w:eastAsiaTheme="majorEastAsia" w:cstheme="majorBidi"/>
      <w:color w:val="0F4761" w:themeColor="accent1" w:themeShade="BF"/>
      <w:sz w:val="32"/>
      <w:szCs w:val="32"/>
    </w:rPr>
  </w:style>
  <w:style w:type="character" w:customStyle="1" w:styleId="20">
    <w:name w:val="标题 4 Char"/>
    <w:basedOn w:val="16"/>
    <w:link w:val="5"/>
    <w:semiHidden/>
    <w:uiPriority w:val="9"/>
    <w:rPr>
      <w:rFonts w:cstheme="majorBidi"/>
      <w:color w:val="0F4761" w:themeColor="accent1" w:themeShade="BF"/>
      <w:sz w:val="28"/>
      <w:szCs w:val="28"/>
    </w:rPr>
  </w:style>
  <w:style w:type="character" w:customStyle="1" w:styleId="21">
    <w:name w:val="标题 5 Char"/>
    <w:basedOn w:val="16"/>
    <w:link w:val="6"/>
    <w:semiHidden/>
    <w:uiPriority w:val="9"/>
    <w:rPr>
      <w:rFonts w:cstheme="majorBidi"/>
      <w:color w:val="0F4761" w:themeColor="accent1" w:themeShade="BF"/>
      <w:sz w:val="24"/>
      <w:szCs w:val="24"/>
    </w:rPr>
  </w:style>
  <w:style w:type="character" w:customStyle="1" w:styleId="22">
    <w:name w:val="标题 6 Char"/>
    <w:basedOn w:val="16"/>
    <w:link w:val="7"/>
    <w:semiHidden/>
    <w:uiPriority w:val="9"/>
    <w:rPr>
      <w:rFonts w:cstheme="majorBidi"/>
      <w:b/>
      <w:bCs/>
      <w:color w:val="0F4761" w:themeColor="accent1" w:themeShade="BF"/>
    </w:rPr>
  </w:style>
  <w:style w:type="character" w:customStyle="1" w:styleId="23">
    <w:name w:val="标题 7 Char"/>
    <w:basedOn w:val="16"/>
    <w:link w:val="8"/>
    <w:semiHidden/>
    <w:uiPriority w:val="9"/>
    <w:rPr>
      <w:rFonts w:cstheme="majorBidi"/>
      <w:b/>
      <w:bCs/>
      <w:color w:val="585858" w:themeColor="text1" w:themeTint="A6"/>
    </w:rPr>
  </w:style>
  <w:style w:type="character" w:customStyle="1" w:styleId="24">
    <w:name w:val="标题 8 Char"/>
    <w:basedOn w:val="16"/>
    <w:link w:val="9"/>
    <w:semiHidden/>
    <w:uiPriority w:val="9"/>
    <w:rPr>
      <w:rFonts w:cstheme="majorBidi"/>
      <w:color w:val="585858" w:themeColor="text1" w:themeTint="A6"/>
    </w:rPr>
  </w:style>
  <w:style w:type="character" w:customStyle="1" w:styleId="25">
    <w:name w:val="标题 9 Char"/>
    <w:basedOn w:val="16"/>
    <w:link w:val="10"/>
    <w:semiHidden/>
    <w:uiPriority w:val="9"/>
    <w:rPr>
      <w:rFonts w:eastAsiaTheme="majorEastAsia" w:cstheme="majorBidi"/>
      <w:color w:val="585858" w:themeColor="text1" w:themeTint="A6"/>
    </w:rPr>
  </w:style>
  <w:style w:type="character" w:customStyle="1" w:styleId="26">
    <w:name w:val="标题 Char"/>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Char"/>
    <w:basedOn w:val="16"/>
    <w:link w:val="13"/>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Char"/>
    <w:basedOn w:val="16"/>
    <w:link w:val="28"/>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Char"/>
    <w:basedOn w:val="16"/>
    <w:link w:val="32"/>
    <w:uiPriority w:val="30"/>
    <w:rPr>
      <w:i/>
      <w:iCs/>
      <w:color w:val="0F4761" w:themeColor="accent1" w:themeShade="BF"/>
    </w:rPr>
  </w:style>
  <w:style w:type="character" w:customStyle="1" w:styleId="34">
    <w:name w:val="Intense Reference"/>
    <w:basedOn w:val="16"/>
    <w:qFormat/>
    <w:uiPriority w:val="32"/>
    <w:rPr>
      <w:b/>
      <w:bCs/>
      <w:smallCaps/>
      <w:color w:val="0F4761" w:themeColor="accent1" w:themeShade="BF"/>
      <w:spacing w:val="5"/>
    </w:rPr>
  </w:style>
  <w:style w:type="character" w:customStyle="1" w:styleId="35">
    <w:name w:val="页眉 Char"/>
    <w:basedOn w:val="16"/>
    <w:link w:val="12"/>
    <w:semiHidden/>
    <w:uiPriority w:val="99"/>
    <w:rPr>
      <w:sz w:val="18"/>
      <w:szCs w:val="18"/>
    </w:rPr>
  </w:style>
  <w:style w:type="character" w:customStyle="1" w:styleId="36">
    <w:name w:val="页脚 Char"/>
    <w:basedOn w:val="16"/>
    <w:link w:val="11"/>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User</Company>
  <Pages>3</Pages>
  <Words>830</Words>
  <Characters>952</Characters>
  <Lines>7</Lines>
  <Paragraphs>2</Paragraphs>
  <TotalTime>4</TotalTime>
  <ScaleCrop>false</ScaleCrop>
  <LinksUpToDate>false</LinksUpToDate>
  <CharactersWithSpaces>952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2026-08-28T02:48:00Z</dcterms:created>
  <dc:creator>春阳 宋</dc:creator>
  <cp:lastModifiedBy>秋疯落耶</cp:lastModifiedBy>
  <dcterms:modified xsi:type="dcterms:W3CDTF">2026-08-28T06:16:53Z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eyJoZGlkIjoiOWE5ZTRjNjNiZDQwZDE1NDNkNDYzNDc3NWU0ZWE3YmEiLCJ1c2VySWQiOiIyNDMwNzc1MDkifQ==</vt:lpwstr>
  </property>
  <property fmtid="{D5CDD505-2E9C-101B-9397-08002B2CF9AE}" pid="3" name="KSOProductBuildVer">
    <vt:lpwstr>2052-12.1.0.28505</vt:lpwstr>
  </property>
  <property fmtid="{D5CDD505-2E9C-101B-9397-08002B2CF9AE}" pid="4" name="ICV">
    <vt:lpwstr>8F371FA5FA87451B837D0C7A286BEF50_13</vt:lpwstr>
  </property>
</Properties>
</file>