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5F579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bookmarkStart w:id="0" w:name="_GoBack"/>
      <w:r>
        <w:rPr>
          <w:rFonts w:hint="eastAsia" w:ascii="仿宋" w:hAnsi="仿宋" w:eastAsia="仿宋"/>
          <w:b/>
          <w:sz w:val="48"/>
          <w:szCs w:val="48"/>
          <w:lang w:eastAsia="zh-CN"/>
        </w:rPr>
        <w:t>生产厂家唯一授权供应商的证明材料</w:t>
      </w:r>
      <w:bookmarkEnd w:id="0"/>
    </w:p>
    <w:p w14:paraId="5DD2EAE5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投标人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进行电子签章。具体要求如下：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标人应当在响应文件中上传响应产品品牌的《商标注册证》或商标使用许可授权证明（同时提供《商标注册证》）的原件扫描件并进行电子签章；</w:t>
      </w:r>
    </w:p>
    <w:p w14:paraId="69D43CA7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提供《商标注册证》的注册人应与响应供应商名称一致；提供商标使用许可授权证明的，授权人应为《商标注册证》中的注册人，使用人应与响应供应商名称一致；如因供应商工商登记信息发生变更导致名称不一致的，需提供市场监管部门变更登记的证明材料；</w:t>
      </w:r>
    </w:p>
    <w:p w14:paraId="39DDB8C2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2、《商标注册证》核定使用商品分类应包括本次响应产品对应分类；</w:t>
      </w:r>
    </w:p>
    <w:p w14:paraId="581480B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3、提交响应文件时，《商标注册证》应在有效期内，入围后供应商应确保在框架协议生效期间《商标注册证》有效。</w:t>
      </w:r>
    </w:p>
    <w:p w14:paraId="6F7AF4A3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供应商如是生产厂家唯一授权供应商，应当在响应文件中除提供上述要求的证明材料（生产厂家需加盖公章）外，还应提供唯一授权文件扫描件。</w:t>
      </w:r>
    </w:p>
    <w:p w14:paraId="3262E4FD"/>
    <w:p w14:paraId="5503CB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D5E85"/>
    <w:rsid w:val="0AED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2026-06-08T02:50:00Z</dcterms:created>
  <dc:creator>苏日娜</dc:creator>
  <cp:lastModifiedBy>苏日娜</cp:lastModifiedBy>
  <dcterms:modified xsi:type="dcterms:W3CDTF">2026-06-08T02:54:51Z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9A708D36587D4B68906399967094B793_11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